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BEEDB" w14:textId="77777777" w:rsidR="00CA272A" w:rsidRDefault="00CA272A" w:rsidP="00CA272A">
      <w:pPr>
        <w:jc w:val="both"/>
        <w:rPr>
          <w:rFonts w:ascii="Arial" w:hAnsi="Arial" w:cs="Arial"/>
          <w:b/>
          <w:sz w:val="22"/>
          <w:szCs w:val="22"/>
          <w:u w:val="single"/>
        </w:rPr>
      </w:pPr>
    </w:p>
    <w:p w14:paraId="1187115E" w14:textId="77777777" w:rsidR="00982C70" w:rsidRDefault="00982C70" w:rsidP="00CA272A">
      <w:pPr>
        <w:jc w:val="both"/>
        <w:rPr>
          <w:rFonts w:ascii="Arial" w:hAnsi="Arial" w:cs="Arial"/>
          <w:b/>
          <w:sz w:val="22"/>
          <w:szCs w:val="22"/>
          <w:u w:val="single"/>
        </w:rPr>
      </w:pPr>
    </w:p>
    <w:p w14:paraId="05B1F368" w14:textId="77777777" w:rsidR="00982C70" w:rsidRPr="00982C70" w:rsidRDefault="004967DA" w:rsidP="00982C70">
      <w:pPr>
        <w:spacing w:after="200" w:line="276" w:lineRule="auto"/>
        <w:ind w:left="360"/>
        <w:rPr>
          <w:rFonts w:ascii="Calibri" w:eastAsia="Calibri" w:hAnsi="Calibri"/>
          <w:b/>
          <w:caps/>
          <w:sz w:val="22"/>
          <w:szCs w:val="22"/>
          <w:u w:val="single"/>
          <w:lang w:eastAsia="en-US"/>
        </w:rPr>
      </w:pPr>
      <w:r>
        <w:rPr>
          <w:rFonts w:ascii="Calibri" w:eastAsia="Calibri" w:hAnsi="Calibri"/>
          <w:b/>
          <w:caps/>
          <w:sz w:val="22"/>
          <w:szCs w:val="22"/>
          <w:u w:val="single"/>
          <w:lang w:eastAsia="en-US"/>
        </w:rPr>
        <w:t xml:space="preserve">INSTRUCCIONES ACLARATORIAS </w:t>
      </w:r>
      <w:r w:rsidR="00982C70" w:rsidRPr="00982C70">
        <w:rPr>
          <w:rFonts w:ascii="Calibri" w:eastAsia="Calibri" w:hAnsi="Calibri"/>
          <w:b/>
          <w:caps/>
          <w:sz w:val="22"/>
          <w:szCs w:val="22"/>
          <w:u w:val="single"/>
          <w:lang w:eastAsia="en-US"/>
        </w:rPr>
        <w:t>relativas al nuevo procedimiento de remisión de partes  de los Servicios Públicos de Salud (SPS) por  Coronavirus, conforme al Real Decreto Ley  6/2020</w:t>
      </w:r>
      <w:r w:rsidR="00982C70">
        <w:rPr>
          <w:rFonts w:ascii="Calibri" w:eastAsia="Calibri" w:hAnsi="Calibri"/>
          <w:b/>
          <w:caps/>
          <w:sz w:val="22"/>
          <w:szCs w:val="22"/>
          <w:u w:val="single"/>
          <w:lang w:eastAsia="en-US"/>
        </w:rPr>
        <w:t>, de 10 de marzo</w:t>
      </w:r>
      <w:r w:rsidR="00982C70" w:rsidRPr="00982C70">
        <w:rPr>
          <w:rFonts w:ascii="Calibri" w:eastAsia="Calibri" w:hAnsi="Calibri"/>
          <w:b/>
          <w:caps/>
          <w:sz w:val="22"/>
          <w:szCs w:val="22"/>
          <w:u w:val="single"/>
          <w:lang w:eastAsia="en-US"/>
        </w:rPr>
        <w:t>.</w:t>
      </w:r>
    </w:p>
    <w:p w14:paraId="16D38F5C" w14:textId="77777777" w:rsidR="00982C70" w:rsidRPr="00982C70" w:rsidRDefault="00982C70" w:rsidP="00982C70">
      <w:pPr>
        <w:spacing w:after="200" w:line="276" w:lineRule="auto"/>
        <w:ind w:left="720"/>
        <w:contextualSpacing/>
        <w:jc w:val="both"/>
        <w:rPr>
          <w:rFonts w:ascii="Calibri" w:eastAsia="Calibri" w:hAnsi="Calibri"/>
          <w:sz w:val="22"/>
          <w:szCs w:val="22"/>
          <w:lang w:eastAsia="en-US"/>
        </w:rPr>
      </w:pPr>
    </w:p>
    <w:p w14:paraId="4D2F8733" w14:textId="77777777" w:rsidR="00982C70" w:rsidRPr="00982C70" w:rsidRDefault="00982C70" w:rsidP="00982C70">
      <w:pPr>
        <w:numPr>
          <w:ilvl w:val="0"/>
          <w:numId w:val="9"/>
        </w:numPr>
        <w:spacing w:after="200" w:line="276" w:lineRule="auto"/>
        <w:contextualSpacing/>
        <w:jc w:val="both"/>
        <w:rPr>
          <w:rFonts w:ascii="Calibri" w:eastAsia="Calibri" w:hAnsi="Calibri"/>
          <w:sz w:val="22"/>
          <w:szCs w:val="22"/>
          <w:lang w:eastAsia="en-US"/>
        </w:rPr>
      </w:pPr>
      <w:r w:rsidRPr="00982C70">
        <w:rPr>
          <w:rFonts w:ascii="Calibri" w:eastAsia="Calibri" w:hAnsi="Calibri"/>
          <w:sz w:val="22"/>
          <w:szCs w:val="22"/>
          <w:lang w:eastAsia="en-US"/>
        </w:rPr>
        <w:t>Serán los médicos de los  SPS los que emitan los partes de baja y alta en todos los casos de afectación por coronavirus (conforme a los códigos de la CIE9</w:t>
      </w:r>
      <w:bookmarkStart w:id="0" w:name="_GoBack"/>
      <w:bookmarkEnd w:id="0"/>
      <w:r w:rsidRPr="00982C70">
        <w:rPr>
          <w:rFonts w:ascii="Calibri" w:eastAsia="Calibri" w:hAnsi="Calibri"/>
          <w:sz w:val="22"/>
          <w:szCs w:val="22"/>
          <w:lang w:eastAsia="en-US"/>
        </w:rPr>
        <w:t>MC y a la CIE10ES consensuados), tanto en las situaciones de aislamiento como de enfermedad y a todos los trabajadores  que lo necesiten, tanto para el  personal sanitario como para el resto de trabajadores.</w:t>
      </w:r>
    </w:p>
    <w:p w14:paraId="33629402" w14:textId="77777777" w:rsidR="00982C70" w:rsidRPr="00982C70" w:rsidRDefault="00982C70" w:rsidP="00982C70">
      <w:pPr>
        <w:spacing w:after="200" w:line="276" w:lineRule="auto"/>
        <w:ind w:left="720"/>
        <w:contextualSpacing/>
        <w:jc w:val="both"/>
        <w:rPr>
          <w:rFonts w:ascii="Calibri" w:eastAsia="Calibri" w:hAnsi="Calibri"/>
          <w:sz w:val="22"/>
          <w:szCs w:val="22"/>
          <w:lang w:eastAsia="en-US"/>
        </w:rPr>
      </w:pPr>
    </w:p>
    <w:p w14:paraId="67D4DA74" w14:textId="77777777" w:rsidR="00982C70" w:rsidRPr="00982C70" w:rsidRDefault="00982C70" w:rsidP="00982C70">
      <w:pPr>
        <w:spacing w:after="200" w:line="276" w:lineRule="auto"/>
        <w:ind w:left="720"/>
        <w:contextualSpacing/>
        <w:jc w:val="both"/>
        <w:rPr>
          <w:rFonts w:ascii="Calibri" w:eastAsia="Calibri" w:hAnsi="Calibri"/>
          <w:sz w:val="22"/>
          <w:szCs w:val="22"/>
          <w:lang w:eastAsia="en-US"/>
        </w:rPr>
      </w:pPr>
      <w:r w:rsidRPr="00982C70">
        <w:rPr>
          <w:rFonts w:ascii="Calibri" w:eastAsia="Calibri" w:hAnsi="Calibri"/>
          <w:sz w:val="22"/>
          <w:szCs w:val="22"/>
          <w:lang w:eastAsia="en-US"/>
        </w:rPr>
        <w:t xml:space="preserve">Por ello, en ningún caso, estos partes de baja/alta podrán ser emitidos por los facultativos de las Mutuas Colaboradoras con la Seguridad Social (MCSS), del Instituto Social de la Marina o de las Empresas Colaboradoras </w:t>
      </w:r>
    </w:p>
    <w:p w14:paraId="6BCD8A26" w14:textId="77777777" w:rsidR="00982C70" w:rsidRPr="00982C70" w:rsidRDefault="00982C70" w:rsidP="00982C70">
      <w:pPr>
        <w:spacing w:after="200" w:line="276" w:lineRule="auto"/>
        <w:ind w:left="720"/>
        <w:contextualSpacing/>
        <w:jc w:val="both"/>
        <w:rPr>
          <w:rFonts w:ascii="Calibri" w:eastAsia="Calibri" w:hAnsi="Calibri"/>
          <w:sz w:val="22"/>
          <w:szCs w:val="22"/>
          <w:lang w:eastAsia="en-US"/>
        </w:rPr>
      </w:pPr>
    </w:p>
    <w:p w14:paraId="4739D73B" w14:textId="77777777" w:rsidR="00982C70" w:rsidRPr="00982C70" w:rsidRDefault="00982C70" w:rsidP="00982C70">
      <w:pPr>
        <w:numPr>
          <w:ilvl w:val="0"/>
          <w:numId w:val="9"/>
        </w:numPr>
        <w:spacing w:after="200" w:line="276" w:lineRule="auto"/>
        <w:contextualSpacing/>
        <w:jc w:val="both"/>
        <w:rPr>
          <w:rFonts w:ascii="Calibri" w:eastAsia="Calibri" w:hAnsi="Calibri"/>
          <w:sz w:val="22"/>
          <w:szCs w:val="22"/>
          <w:lang w:eastAsia="en-US"/>
        </w:rPr>
      </w:pPr>
      <w:r w:rsidRPr="00982C70">
        <w:rPr>
          <w:rFonts w:ascii="Calibri" w:eastAsia="Calibri" w:hAnsi="Calibri"/>
          <w:sz w:val="22"/>
          <w:szCs w:val="22"/>
          <w:lang w:eastAsia="en-US"/>
        </w:rPr>
        <w:t>La contingencia a cumplimentar por parte de dichos facultativos de los SPS en los partes de baja/alta será siempre Enfermedad Común.</w:t>
      </w:r>
    </w:p>
    <w:p w14:paraId="1102BCFE" w14:textId="77777777" w:rsidR="00982C70" w:rsidRPr="00982C70" w:rsidRDefault="00982C70" w:rsidP="00982C70">
      <w:pPr>
        <w:spacing w:after="200" w:line="276" w:lineRule="auto"/>
        <w:ind w:left="720"/>
        <w:contextualSpacing/>
        <w:jc w:val="both"/>
        <w:rPr>
          <w:rFonts w:ascii="Calibri" w:eastAsia="Calibri" w:hAnsi="Calibri"/>
          <w:sz w:val="22"/>
          <w:szCs w:val="22"/>
          <w:lang w:eastAsia="en-US"/>
        </w:rPr>
      </w:pPr>
    </w:p>
    <w:p w14:paraId="3119057C" w14:textId="77777777" w:rsidR="00982C70" w:rsidRPr="00982C70" w:rsidRDefault="00982C70" w:rsidP="00982C70">
      <w:pPr>
        <w:numPr>
          <w:ilvl w:val="0"/>
          <w:numId w:val="9"/>
        </w:numPr>
        <w:spacing w:after="200" w:line="276" w:lineRule="auto"/>
        <w:contextualSpacing/>
        <w:jc w:val="both"/>
        <w:rPr>
          <w:rFonts w:ascii="Calibri" w:eastAsia="Calibri" w:hAnsi="Calibri"/>
          <w:sz w:val="22"/>
          <w:szCs w:val="22"/>
          <w:lang w:eastAsia="en-US"/>
        </w:rPr>
      </w:pPr>
      <w:r w:rsidRPr="00982C70">
        <w:rPr>
          <w:rFonts w:ascii="Calibri" w:eastAsia="Calibri" w:hAnsi="Calibri"/>
          <w:sz w:val="22"/>
          <w:szCs w:val="22"/>
          <w:lang w:eastAsia="en-US"/>
        </w:rPr>
        <w:t xml:space="preserve">Los códigos a utilizar para este procedimiento especial son los indicados  por el Ministerio de Sanidad  en su Nota actualizada a 6 de marzo y que se reproducen a continuación: </w:t>
      </w:r>
    </w:p>
    <w:p w14:paraId="27F43C24" w14:textId="77777777" w:rsidR="00982C70" w:rsidRPr="00982C70" w:rsidRDefault="00982C70" w:rsidP="00982C70">
      <w:pPr>
        <w:spacing w:after="200" w:line="276" w:lineRule="auto"/>
        <w:ind w:left="720"/>
        <w:contextualSpacing/>
        <w:jc w:val="both"/>
        <w:rPr>
          <w:rFonts w:ascii="Calibri" w:eastAsia="Calibri" w:hAnsi="Calibri"/>
          <w:sz w:val="22"/>
          <w:szCs w:val="22"/>
          <w:lang w:eastAsia="en-US"/>
        </w:rPr>
      </w:pPr>
    </w:p>
    <w:p w14:paraId="5FB3FF9A" w14:textId="77777777" w:rsidR="00982C70" w:rsidRPr="00982C70" w:rsidRDefault="00982C70" w:rsidP="00982C70">
      <w:pPr>
        <w:spacing w:after="200" w:line="276" w:lineRule="auto"/>
        <w:ind w:left="720"/>
        <w:contextualSpacing/>
        <w:jc w:val="both"/>
        <w:rPr>
          <w:rFonts w:ascii="Calibri" w:eastAsia="Calibri" w:hAnsi="Calibri"/>
          <w:b/>
          <w:sz w:val="22"/>
          <w:szCs w:val="22"/>
          <w:lang w:eastAsia="en-US"/>
        </w:rPr>
      </w:pPr>
      <w:r w:rsidRPr="00982C70">
        <w:rPr>
          <w:rFonts w:ascii="Calibri" w:eastAsia="Calibri" w:hAnsi="Calibri"/>
          <w:b/>
          <w:sz w:val="22"/>
          <w:szCs w:val="22"/>
          <w:lang w:eastAsia="en-US"/>
        </w:rPr>
        <w:t xml:space="preserve">Para CIE-10 ES: </w:t>
      </w:r>
    </w:p>
    <w:p w14:paraId="17619E93" w14:textId="77777777" w:rsidR="00982C70" w:rsidRPr="00982C70" w:rsidRDefault="00982C70" w:rsidP="00982C70">
      <w:pPr>
        <w:numPr>
          <w:ilvl w:val="0"/>
          <w:numId w:val="10"/>
        </w:numPr>
        <w:spacing w:after="200" w:line="276" w:lineRule="auto"/>
        <w:contextualSpacing/>
        <w:jc w:val="both"/>
        <w:rPr>
          <w:rFonts w:ascii="Calibri" w:eastAsia="Calibri" w:hAnsi="Calibri"/>
          <w:sz w:val="22"/>
          <w:szCs w:val="22"/>
          <w:lang w:eastAsia="en-US"/>
        </w:rPr>
      </w:pPr>
      <w:r w:rsidRPr="00982C70">
        <w:rPr>
          <w:rFonts w:ascii="Calibri" w:eastAsia="Calibri" w:hAnsi="Calibri"/>
          <w:b/>
          <w:sz w:val="22"/>
          <w:szCs w:val="22"/>
          <w:lang w:eastAsia="en-US"/>
        </w:rPr>
        <w:t xml:space="preserve">Contacto  o exposición: </w:t>
      </w:r>
    </w:p>
    <w:p w14:paraId="170D28E6" w14:textId="77777777" w:rsidR="00982C70" w:rsidRPr="00982C70" w:rsidRDefault="00982C70" w:rsidP="00982C70">
      <w:pPr>
        <w:spacing w:after="200" w:line="276" w:lineRule="auto"/>
        <w:ind w:left="1080"/>
        <w:contextualSpacing/>
        <w:jc w:val="both"/>
        <w:rPr>
          <w:rFonts w:ascii="Calibri" w:eastAsia="Calibri" w:hAnsi="Calibri"/>
          <w:sz w:val="22"/>
          <w:szCs w:val="22"/>
          <w:lang w:eastAsia="en-US"/>
        </w:rPr>
      </w:pPr>
      <w:r w:rsidRPr="00982C70">
        <w:rPr>
          <w:rFonts w:ascii="Calibri" w:eastAsia="Calibri" w:hAnsi="Calibri"/>
          <w:sz w:val="22"/>
          <w:szCs w:val="22"/>
          <w:lang w:eastAsia="en-US"/>
        </w:rPr>
        <w:t>Z20.828: Contacto y exposición (sospechada) a otras enfermedades transmisibles virales  contagiosas víricas.</w:t>
      </w:r>
    </w:p>
    <w:p w14:paraId="6EE6BB92" w14:textId="77777777" w:rsidR="00982C70" w:rsidRPr="00982C70" w:rsidRDefault="00982C70" w:rsidP="00982C70">
      <w:pPr>
        <w:numPr>
          <w:ilvl w:val="0"/>
          <w:numId w:val="10"/>
        </w:numPr>
        <w:spacing w:after="200" w:line="276" w:lineRule="auto"/>
        <w:contextualSpacing/>
        <w:jc w:val="both"/>
        <w:rPr>
          <w:rFonts w:ascii="Calibri" w:eastAsia="Calibri" w:hAnsi="Calibri"/>
          <w:b/>
          <w:sz w:val="22"/>
          <w:szCs w:val="22"/>
          <w:lang w:eastAsia="en-US"/>
        </w:rPr>
      </w:pPr>
      <w:r w:rsidRPr="00982C70">
        <w:rPr>
          <w:rFonts w:ascii="Calibri" w:eastAsia="Calibri" w:hAnsi="Calibri"/>
          <w:b/>
          <w:sz w:val="22"/>
          <w:szCs w:val="22"/>
          <w:lang w:eastAsia="en-US"/>
        </w:rPr>
        <w:t xml:space="preserve">Infección: </w:t>
      </w:r>
    </w:p>
    <w:p w14:paraId="24B6BCD6" w14:textId="77777777" w:rsidR="00982C70" w:rsidRPr="00982C70" w:rsidRDefault="00982C70" w:rsidP="00982C70">
      <w:pPr>
        <w:spacing w:after="200" w:line="276" w:lineRule="auto"/>
        <w:ind w:left="1080"/>
        <w:contextualSpacing/>
        <w:jc w:val="both"/>
        <w:rPr>
          <w:rFonts w:ascii="Calibri" w:eastAsia="Calibri" w:hAnsi="Calibri"/>
          <w:b/>
          <w:sz w:val="22"/>
          <w:szCs w:val="22"/>
          <w:lang w:eastAsia="en-US"/>
        </w:rPr>
      </w:pPr>
      <w:r w:rsidRPr="00982C70">
        <w:rPr>
          <w:rFonts w:ascii="Calibri" w:eastAsia="Calibri" w:hAnsi="Calibri"/>
          <w:sz w:val="22"/>
          <w:szCs w:val="22"/>
          <w:lang w:eastAsia="en-US"/>
        </w:rPr>
        <w:t>B34.2: Infección  debida a coronavirus  no especificada</w:t>
      </w:r>
    </w:p>
    <w:p w14:paraId="11772DB2" w14:textId="77777777" w:rsidR="00982C70" w:rsidRPr="00982C70" w:rsidRDefault="00982C70" w:rsidP="00982C70">
      <w:pPr>
        <w:spacing w:after="200" w:line="276" w:lineRule="auto"/>
        <w:ind w:left="708"/>
        <w:jc w:val="both"/>
        <w:rPr>
          <w:rFonts w:ascii="Calibri" w:eastAsia="Calibri" w:hAnsi="Calibri"/>
          <w:b/>
          <w:sz w:val="22"/>
          <w:szCs w:val="22"/>
          <w:lang w:eastAsia="en-US"/>
        </w:rPr>
      </w:pPr>
      <w:r w:rsidRPr="00982C70">
        <w:rPr>
          <w:rFonts w:ascii="Calibri" w:eastAsia="Calibri" w:hAnsi="Calibri"/>
          <w:b/>
          <w:sz w:val="22"/>
          <w:szCs w:val="22"/>
          <w:lang w:eastAsia="en-US"/>
        </w:rPr>
        <w:t>Para CIE-9.MC:</w:t>
      </w:r>
    </w:p>
    <w:p w14:paraId="2420B1E0" w14:textId="77777777" w:rsidR="00982C70" w:rsidRPr="00982C70" w:rsidRDefault="00982C70" w:rsidP="00982C70">
      <w:pPr>
        <w:numPr>
          <w:ilvl w:val="0"/>
          <w:numId w:val="10"/>
        </w:numPr>
        <w:spacing w:after="200" w:line="276" w:lineRule="auto"/>
        <w:contextualSpacing/>
        <w:jc w:val="both"/>
        <w:rPr>
          <w:rFonts w:ascii="Calibri" w:eastAsia="Calibri" w:hAnsi="Calibri"/>
          <w:sz w:val="22"/>
          <w:szCs w:val="22"/>
          <w:lang w:eastAsia="en-US"/>
        </w:rPr>
      </w:pPr>
      <w:r w:rsidRPr="00982C70">
        <w:rPr>
          <w:rFonts w:ascii="Calibri" w:eastAsia="Calibri" w:hAnsi="Calibri"/>
          <w:b/>
          <w:sz w:val="22"/>
          <w:szCs w:val="22"/>
          <w:lang w:eastAsia="en-US"/>
        </w:rPr>
        <w:t xml:space="preserve">Contacto  o exposición: </w:t>
      </w:r>
    </w:p>
    <w:p w14:paraId="1554984C" w14:textId="77777777" w:rsidR="00982C70" w:rsidRPr="00982C70" w:rsidRDefault="00982C70" w:rsidP="00982C70">
      <w:pPr>
        <w:spacing w:after="200" w:line="276" w:lineRule="auto"/>
        <w:ind w:left="1080"/>
        <w:contextualSpacing/>
        <w:jc w:val="both"/>
        <w:rPr>
          <w:rFonts w:ascii="Calibri" w:eastAsia="Calibri" w:hAnsi="Calibri"/>
          <w:sz w:val="22"/>
          <w:szCs w:val="22"/>
          <w:lang w:eastAsia="en-US"/>
        </w:rPr>
      </w:pPr>
      <w:r w:rsidRPr="00982C70">
        <w:rPr>
          <w:rFonts w:ascii="Calibri" w:eastAsia="Calibri" w:hAnsi="Calibri"/>
          <w:sz w:val="22"/>
          <w:szCs w:val="22"/>
          <w:lang w:eastAsia="en-US"/>
        </w:rPr>
        <w:t>V01.79: Contacto/exposición a otras enfermedades víricas (Coronavirus diferentes a SARS Cov).</w:t>
      </w:r>
    </w:p>
    <w:p w14:paraId="69635EBE" w14:textId="77777777" w:rsidR="00982C70" w:rsidRPr="00982C70" w:rsidRDefault="00982C70" w:rsidP="00982C70">
      <w:pPr>
        <w:numPr>
          <w:ilvl w:val="0"/>
          <w:numId w:val="10"/>
        </w:numPr>
        <w:spacing w:after="200" w:line="276" w:lineRule="auto"/>
        <w:contextualSpacing/>
        <w:jc w:val="both"/>
        <w:rPr>
          <w:rFonts w:ascii="Calibri" w:eastAsia="Calibri" w:hAnsi="Calibri"/>
          <w:b/>
          <w:sz w:val="22"/>
          <w:szCs w:val="22"/>
          <w:lang w:eastAsia="en-US"/>
        </w:rPr>
      </w:pPr>
      <w:r w:rsidRPr="00982C70">
        <w:rPr>
          <w:rFonts w:ascii="Calibri" w:eastAsia="Calibri" w:hAnsi="Calibri"/>
          <w:b/>
          <w:sz w:val="22"/>
          <w:szCs w:val="22"/>
          <w:lang w:eastAsia="en-US"/>
        </w:rPr>
        <w:t xml:space="preserve">Infección: </w:t>
      </w:r>
    </w:p>
    <w:p w14:paraId="243695A3" w14:textId="77777777" w:rsidR="00982C70" w:rsidRPr="00982C70" w:rsidRDefault="00982C70" w:rsidP="00982C70">
      <w:pPr>
        <w:spacing w:after="200" w:line="276" w:lineRule="auto"/>
        <w:ind w:left="1080"/>
        <w:contextualSpacing/>
        <w:jc w:val="both"/>
        <w:rPr>
          <w:rFonts w:ascii="Calibri" w:eastAsia="Calibri" w:hAnsi="Calibri"/>
          <w:sz w:val="22"/>
          <w:szCs w:val="22"/>
          <w:lang w:eastAsia="en-US"/>
        </w:rPr>
      </w:pPr>
      <w:r w:rsidRPr="00982C70">
        <w:rPr>
          <w:rFonts w:ascii="Calibri" w:eastAsia="Calibri" w:hAnsi="Calibri"/>
          <w:sz w:val="22"/>
          <w:szCs w:val="22"/>
          <w:lang w:eastAsia="en-US"/>
        </w:rPr>
        <w:t>079.82: Infección  por coronavirus asociado a SARS</w:t>
      </w:r>
    </w:p>
    <w:p w14:paraId="5D17564B" w14:textId="77777777" w:rsidR="00982C70" w:rsidRPr="00982C70" w:rsidRDefault="00982C70" w:rsidP="00982C70">
      <w:pPr>
        <w:spacing w:after="200" w:line="276" w:lineRule="auto"/>
        <w:ind w:left="1080"/>
        <w:contextualSpacing/>
        <w:jc w:val="both"/>
        <w:rPr>
          <w:rFonts w:ascii="Calibri" w:eastAsia="Calibri" w:hAnsi="Calibri"/>
          <w:sz w:val="22"/>
          <w:szCs w:val="22"/>
          <w:lang w:eastAsia="en-US"/>
        </w:rPr>
      </w:pPr>
    </w:p>
    <w:p w14:paraId="63567168" w14:textId="77777777" w:rsidR="00982C70" w:rsidRPr="00982C70" w:rsidRDefault="00982C70" w:rsidP="00982C70">
      <w:pPr>
        <w:numPr>
          <w:ilvl w:val="0"/>
          <w:numId w:val="9"/>
        </w:numPr>
        <w:spacing w:after="200" w:line="276" w:lineRule="auto"/>
        <w:contextualSpacing/>
        <w:jc w:val="both"/>
        <w:rPr>
          <w:rFonts w:ascii="Calibri" w:eastAsia="Calibri" w:hAnsi="Calibri"/>
          <w:sz w:val="22"/>
          <w:szCs w:val="22"/>
          <w:lang w:eastAsia="en-US"/>
        </w:rPr>
      </w:pPr>
      <w:r w:rsidRPr="00982C70">
        <w:rPr>
          <w:rFonts w:ascii="Calibri" w:eastAsia="Calibri" w:hAnsi="Calibri"/>
          <w:sz w:val="22"/>
          <w:szCs w:val="22"/>
          <w:lang w:eastAsia="en-US"/>
        </w:rPr>
        <w:t>Todos los códigos señalados, transmitidos por el SPS, serán admitidos por el INSS a través del protocolo de intercambio de información INSS-SPS sin devolver error alguno, y no serán considerados como errores a efectos del cumplimiento de objetivos de cara a  las liquidaciones de los vigentes Convenios para el control de la IT.</w:t>
      </w:r>
    </w:p>
    <w:p w14:paraId="06498DC8" w14:textId="77777777" w:rsidR="00982C70" w:rsidRPr="00982C70" w:rsidRDefault="00982C70" w:rsidP="00982C70">
      <w:pPr>
        <w:spacing w:after="200" w:line="276" w:lineRule="auto"/>
        <w:ind w:left="720"/>
        <w:contextualSpacing/>
        <w:jc w:val="both"/>
        <w:rPr>
          <w:rFonts w:ascii="Calibri" w:eastAsia="Calibri" w:hAnsi="Calibri"/>
          <w:sz w:val="22"/>
          <w:szCs w:val="22"/>
          <w:lang w:eastAsia="en-US"/>
        </w:rPr>
      </w:pPr>
    </w:p>
    <w:p w14:paraId="4ED0F3D1" w14:textId="77777777" w:rsidR="00982C70" w:rsidRPr="00982C70" w:rsidRDefault="00982C70" w:rsidP="00982C70">
      <w:pPr>
        <w:numPr>
          <w:ilvl w:val="0"/>
          <w:numId w:val="9"/>
        </w:numPr>
        <w:spacing w:after="200" w:line="276" w:lineRule="auto"/>
        <w:contextualSpacing/>
        <w:jc w:val="both"/>
        <w:rPr>
          <w:rFonts w:ascii="Calibri" w:eastAsia="Calibri" w:hAnsi="Calibri"/>
          <w:sz w:val="22"/>
          <w:szCs w:val="22"/>
          <w:lang w:eastAsia="en-US"/>
        </w:rPr>
      </w:pPr>
      <w:r w:rsidRPr="00982C70">
        <w:rPr>
          <w:rFonts w:ascii="Calibri" w:eastAsia="Calibri" w:hAnsi="Calibri"/>
          <w:sz w:val="22"/>
          <w:szCs w:val="22"/>
          <w:lang w:eastAsia="en-US"/>
        </w:rPr>
        <w:lastRenderedPageBreak/>
        <w:t>La duración estimada para estos procesos de IT se fija entre 5 y 30 días naturales (procesos de corta duración conforme al RD 625/2014); tal como recoge el mencionado Real Decreto, la emisión del primer parte de confirmación no excederá en más de siete días naturales a la fecha de baja inicial. Los sucesivos partes, en caso de ser necesarios, no podrán emitirse con una diferencia de más de catorce días naturales entre sí.</w:t>
      </w:r>
    </w:p>
    <w:p w14:paraId="412681AD" w14:textId="77777777" w:rsidR="00982C70" w:rsidRPr="00982C70" w:rsidRDefault="00982C70" w:rsidP="00982C70">
      <w:pPr>
        <w:spacing w:after="200" w:line="276" w:lineRule="auto"/>
        <w:ind w:left="720"/>
        <w:contextualSpacing/>
        <w:rPr>
          <w:rFonts w:ascii="Calibri" w:eastAsia="Calibri" w:hAnsi="Calibri"/>
          <w:sz w:val="22"/>
          <w:szCs w:val="22"/>
          <w:lang w:eastAsia="en-US"/>
        </w:rPr>
      </w:pPr>
    </w:p>
    <w:p w14:paraId="7D49A123" w14:textId="77777777" w:rsidR="00982C70" w:rsidRPr="00982C70" w:rsidRDefault="00982C70" w:rsidP="00982C70">
      <w:pPr>
        <w:numPr>
          <w:ilvl w:val="0"/>
          <w:numId w:val="9"/>
        </w:numPr>
        <w:spacing w:after="200" w:line="276" w:lineRule="auto"/>
        <w:contextualSpacing/>
        <w:jc w:val="both"/>
        <w:rPr>
          <w:rFonts w:ascii="Calibri" w:eastAsia="Calibri" w:hAnsi="Calibri"/>
          <w:sz w:val="22"/>
          <w:szCs w:val="22"/>
          <w:lang w:eastAsia="en-US"/>
        </w:rPr>
      </w:pPr>
      <w:r w:rsidRPr="00982C70">
        <w:rPr>
          <w:rFonts w:ascii="Calibri" w:eastAsia="Calibri" w:hAnsi="Calibri"/>
          <w:sz w:val="22"/>
          <w:szCs w:val="22"/>
          <w:lang w:eastAsia="en-US"/>
        </w:rPr>
        <w:t xml:space="preserve">Para el adecuado abono de la prestación económica en estos procesos de IT,  recordamos que en tanto no se emita el parte médico de baja no se iniciarán las actuaciones tendentes a la suspensión de la relación laboral y al reconocimiento del derecho a la citada prestación económica por IT. Es por ello que se estima necesario insistir en lo siguiente: </w:t>
      </w:r>
    </w:p>
    <w:p w14:paraId="0CB7AD03" w14:textId="77777777" w:rsidR="00982C70" w:rsidRPr="00982C70" w:rsidRDefault="00982C70" w:rsidP="00982C70">
      <w:pPr>
        <w:spacing w:after="200" w:line="276" w:lineRule="auto"/>
        <w:ind w:left="1440"/>
        <w:contextualSpacing/>
        <w:rPr>
          <w:rFonts w:ascii="Calibri" w:eastAsia="Calibri" w:hAnsi="Calibri"/>
          <w:sz w:val="22"/>
          <w:szCs w:val="22"/>
          <w:lang w:eastAsia="en-US"/>
        </w:rPr>
      </w:pPr>
    </w:p>
    <w:p w14:paraId="7D74F1C6" w14:textId="77777777" w:rsidR="00982C70" w:rsidRDefault="00982C70" w:rsidP="00982C70">
      <w:pPr>
        <w:numPr>
          <w:ilvl w:val="1"/>
          <w:numId w:val="9"/>
        </w:numPr>
        <w:spacing w:after="200" w:line="276" w:lineRule="auto"/>
        <w:contextualSpacing/>
        <w:jc w:val="both"/>
        <w:rPr>
          <w:rFonts w:ascii="Calibri" w:eastAsia="Calibri" w:hAnsi="Calibri"/>
          <w:sz w:val="22"/>
          <w:szCs w:val="22"/>
          <w:lang w:eastAsia="en-US"/>
        </w:rPr>
      </w:pPr>
      <w:r w:rsidRPr="00982C70">
        <w:rPr>
          <w:rFonts w:ascii="Calibri" w:eastAsia="Calibri" w:hAnsi="Calibri"/>
          <w:sz w:val="22"/>
          <w:szCs w:val="22"/>
          <w:lang w:eastAsia="en-US"/>
        </w:rPr>
        <w:t xml:space="preserve">El parte de baja médico por aislamiento requerirá previamente a su emisión, la confirmación de la procedencia de ese aislamiento por parte de la autoridad sanitaria competente de cada Comunidad Autónoma o a quien ésta autorice. Por ello, es indispensable que esa información sobre el aislamiento llegue con la mayor prontitud posible a los facultativos competentes para la emisión del parte de baja. </w:t>
      </w:r>
    </w:p>
    <w:p w14:paraId="0A6C4726" w14:textId="77777777" w:rsidR="00982C70" w:rsidRPr="00982C70" w:rsidRDefault="00982C70" w:rsidP="00982C70">
      <w:pPr>
        <w:spacing w:after="200" w:line="276" w:lineRule="auto"/>
        <w:ind w:left="1440"/>
        <w:contextualSpacing/>
        <w:jc w:val="both"/>
        <w:rPr>
          <w:rFonts w:ascii="Calibri" w:eastAsia="Calibri" w:hAnsi="Calibri"/>
          <w:sz w:val="22"/>
          <w:szCs w:val="22"/>
          <w:lang w:eastAsia="en-US"/>
        </w:rPr>
      </w:pPr>
    </w:p>
    <w:p w14:paraId="76F226FC" w14:textId="77777777" w:rsidR="00982C70" w:rsidRDefault="00982C70" w:rsidP="00982C70">
      <w:pPr>
        <w:numPr>
          <w:ilvl w:val="1"/>
          <w:numId w:val="9"/>
        </w:numPr>
        <w:spacing w:after="200" w:line="276" w:lineRule="auto"/>
        <w:contextualSpacing/>
        <w:jc w:val="both"/>
        <w:rPr>
          <w:rFonts w:ascii="Calibri" w:eastAsia="Calibri" w:hAnsi="Calibri"/>
          <w:sz w:val="22"/>
          <w:szCs w:val="22"/>
          <w:lang w:eastAsia="en-US"/>
        </w:rPr>
      </w:pPr>
      <w:r w:rsidRPr="00982C70">
        <w:rPr>
          <w:rFonts w:ascii="Calibri" w:eastAsia="Calibri" w:hAnsi="Calibri"/>
          <w:sz w:val="22"/>
          <w:szCs w:val="22"/>
          <w:lang w:eastAsia="en-US"/>
        </w:rPr>
        <w:t>El parte de baja y los de confirmación podrán ser emitidos sin la presencia física de la persona trabajadora, siempre que exista indicación de la autoridad en caso de aislamiento y constatación de la enfermedad por los medios disponibles en el Servicio de Salud (Historias clínicas).</w:t>
      </w:r>
    </w:p>
    <w:p w14:paraId="42CE9BDD" w14:textId="77777777" w:rsidR="00982C70" w:rsidRPr="00982C70" w:rsidRDefault="00982C70" w:rsidP="00982C70">
      <w:pPr>
        <w:spacing w:after="200" w:line="276" w:lineRule="auto"/>
        <w:contextualSpacing/>
        <w:jc w:val="both"/>
        <w:rPr>
          <w:rFonts w:ascii="Calibri" w:eastAsia="Calibri" w:hAnsi="Calibri"/>
          <w:sz w:val="22"/>
          <w:szCs w:val="22"/>
          <w:lang w:eastAsia="en-US"/>
        </w:rPr>
      </w:pPr>
    </w:p>
    <w:p w14:paraId="0B3E531E" w14:textId="77777777" w:rsidR="00982C70" w:rsidRPr="00982C70" w:rsidRDefault="00982C70" w:rsidP="00982C70">
      <w:pPr>
        <w:numPr>
          <w:ilvl w:val="1"/>
          <w:numId w:val="9"/>
        </w:numPr>
        <w:spacing w:after="200" w:line="276" w:lineRule="auto"/>
        <w:contextualSpacing/>
        <w:jc w:val="both"/>
        <w:rPr>
          <w:rFonts w:ascii="Calibri" w:eastAsia="Calibri" w:hAnsi="Calibri"/>
          <w:sz w:val="22"/>
          <w:szCs w:val="22"/>
          <w:lang w:eastAsia="en-US"/>
        </w:rPr>
      </w:pPr>
      <w:r w:rsidRPr="00982C70">
        <w:rPr>
          <w:rFonts w:ascii="Calibri" w:eastAsia="Calibri" w:hAnsi="Calibri"/>
          <w:sz w:val="22"/>
          <w:szCs w:val="22"/>
          <w:lang w:eastAsia="en-US"/>
        </w:rPr>
        <w:t>Cuando se tenga conocimiento  del periodo de aislamiento/contagio  o de enfermedad con posterioridad  al inicio del mismo, se emitirán los partes con carácter retroactivo.</w:t>
      </w:r>
    </w:p>
    <w:p w14:paraId="7107539A" w14:textId="77777777" w:rsidR="00B46390" w:rsidRPr="00074E30" w:rsidRDefault="00B46390" w:rsidP="00074E30">
      <w:pPr>
        <w:pStyle w:val="Listaconvietas"/>
        <w:numPr>
          <w:ilvl w:val="0"/>
          <w:numId w:val="0"/>
        </w:numPr>
        <w:spacing w:line="276" w:lineRule="auto"/>
        <w:jc w:val="both"/>
        <w:rPr>
          <w:rFonts w:ascii="Arial" w:hAnsi="Arial" w:cs="Arial"/>
          <w:sz w:val="22"/>
          <w:szCs w:val="22"/>
        </w:rPr>
      </w:pPr>
    </w:p>
    <w:p w14:paraId="411F3381" w14:textId="77777777" w:rsidR="00F736E4" w:rsidRPr="00982C70" w:rsidRDefault="003E05F4" w:rsidP="00982C70">
      <w:pPr>
        <w:ind w:left="7080"/>
        <w:jc w:val="center"/>
        <w:rPr>
          <w:rFonts w:ascii="Calibri" w:eastAsia="Calibri" w:hAnsi="Calibri"/>
          <w:sz w:val="22"/>
          <w:szCs w:val="22"/>
          <w:lang w:eastAsia="en-US"/>
        </w:rPr>
      </w:pPr>
      <w:r w:rsidRPr="00982C70">
        <w:rPr>
          <w:rFonts w:ascii="Calibri" w:eastAsia="Calibri" w:hAnsi="Calibri"/>
          <w:sz w:val="22"/>
          <w:szCs w:val="22"/>
          <w:lang w:eastAsia="en-US"/>
        </w:rPr>
        <w:t xml:space="preserve">Madrid, </w:t>
      </w:r>
      <w:r w:rsidR="00982C70" w:rsidRPr="00982C70">
        <w:rPr>
          <w:rFonts w:ascii="Calibri" w:eastAsia="Calibri" w:hAnsi="Calibri"/>
          <w:sz w:val="22"/>
          <w:szCs w:val="22"/>
          <w:lang w:eastAsia="en-US"/>
        </w:rPr>
        <w:t>11 de marzo</w:t>
      </w:r>
      <w:r w:rsidR="00F736E4" w:rsidRPr="00982C70">
        <w:rPr>
          <w:rFonts w:ascii="Calibri" w:eastAsia="Calibri" w:hAnsi="Calibri"/>
          <w:sz w:val="22"/>
          <w:szCs w:val="22"/>
          <w:lang w:eastAsia="en-US"/>
        </w:rPr>
        <w:t xml:space="preserve"> de 20</w:t>
      </w:r>
      <w:r w:rsidR="00B46390" w:rsidRPr="00982C70">
        <w:rPr>
          <w:rFonts w:ascii="Calibri" w:eastAsia="Calibri" w:hAnsi="Calibri"/>
          <w:sz w:val="22"/>
          <w:szCs w:val="22"/>
          <w:lang w:eastAsia="en-US"/>
        </w:rPr>
        <w:t>20</w:t>
      </w:r>
      <w:r w:rsidR="00F736E4" w:rsidRPr="00982C70">
        <w:rPr>
          <w:rFonts w:ascii="Calibri" w:eastAsia="Calibri" w:hAnsi="Calibri"/>
          <w:sz w:val="22"/>
          <w:szCs w:val="22"/>
          <w:lang w:eastAsia="en-US"/>
        </w:rPr>
        <w:t>.</w:t>
      </w:r>
    </w:p>
    <w:sectPr w:rsidR="00F736E4" w:rsidRPr="00982C70" w:rsidSect="00150769">
      <w:headerReference w:type="default" r:id="rId7"/>
      <w:footerReference w:type="default" r:id="rId8"/>
      <w:headerReference w:type="first" r:id="rId9"/>
      <w:footerReference w:type="first" r:id="rId10"/>
      <w:pgSz w:w="11906" w:h="16838" w:code="9"/>
      <w:pgMar w:top="578" w:right="851" w:bottom="1418" w:left="794" w:header="425"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4359E" w14:textId="77777777" w:rsidR="002C70A4" w:rsidRDefault="002C70A4">
      <w:r>
        <w:separator/>
      </w:r>
    </w:p>
  </w:endnote>
  <w:endnote w:type="continuationSeparator" w:id="0">
    <w:p w14:paraId="167569FE" w14:textId="77777777" w:rsidR="002C70A4" w:rsidRDefault="002C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43" w:type="dxa"/>
      <w:tblLayout w:type="fixed"/>
      <w:tblCellMar>
        <w:left w:w="70" w:type="dxa"/>
        <w:right w:w="70" w:type="dxa"/>
      </w:tblCellMar>
      <w:tblLook w:val="0000" w:firstRow="0" w:lastRow="0" w:firstColumn="0" w:lastColumn="0" w:noHBand="0" w:noVBand="0"/>
    </w:tblPr>
    <w:tblGrid>
      <w:gridCol w:w="9426"/>
      <w:gridCol w:w="1417"/>
    </w:tblGrid>
    <w:tr w:rsidR="00135A73" w14:paraId="15E71423" w14:textId="77777777">
      <w:tc>
        <w:tcPr>
          <w:tcW w:w="9426" w:type="dxa"/>
        </w:tcPr>
        <w:p w14:paraId="3EB4ABCD" w14:textId="77777777" w:rsidR="00135A73" w:rsidRDefault="00135A73">
          <w:pPr>
            <w:pStyle w:val="Piedepgina"/>
          </w:pPr>
        </w:p>
      </w:tc>
      <w:tc>
        <w:tcPr>
          <w:tcW w:w="1417" w:type="dxa"/>
          <w:tcBorders>
            <w:bottom w:val="single" w:sz="4" w:space="0" w:color="auto"/>
          </w:tcBorders>
        </w:tcPr>
        <w:p w14:paraId="342FA04E" w14:textId="77777777" w:rsidR="00F2657D" w:rsidRDefault="0062398C">
          <w:pPr>
            <w:pStyle w:val="Piedepgina"/>
            <w:rPr>
              <w:rFonts w:ascii="Gill Sans" w:hAnsi="Gill Sans"/>
              <w:sz w:val="10"/>
              <w:szCs w:val="10"/>
            </w:rPr>
          </w:pPr>
          <w:r>
            <w:rPr>
              <w:rFonts w:ascii="Gill Sans" w:hAnsi="Gill Sans"/>
              <w:sz w:val="10"/>
              <w:szCs w:val="10"/>
            </w:rPr>
            <w:t>MINISTERIO</w:t>
          </w:r>
        </w:p>
        <w:p w14:paraId="22259918" w14:textId="77777777" w:rsidR="00287494" w:rsidRPr="00287494" w:rsidRDefault="0062398C" w:rsidP="00287494">
          <w:pPr>
            <w:pStyle w:val="Piedepgina"/>
            <w:rPr>
              <w:rFonts w:ascii="Gill Sans" w:hAnsi="Gill Sans"/>
              <w:sz w:val="10"/>
              <w:szCs w:val="10"/>
            </w:rPr>
          </w:pPr>
          <w:r>
            <w:rPr>
              <w:rFonts w:ascii="Gill Sans" w:hAnsi="Gill Sans"/>
              <w:sz w:val="10"/>
              <w:szCs w:val="10"/>
            </w:rPr>
            <w:t xml:space="preserve">DE </w:t>
          </w:r>
          <w:r w:rsidR="00287494" w:rsidRPr="00287494">
            <w:rPr>
              <w:rFonts w:ascii="Gill Sans" w:hAnsi="Gill Sans"/>
              <w:sz w:val="10"/>
              <w:szCs w:val="10"/>
            </w:rPr>
            <w:t>DE EMPLEO</w:t>
          </w:r>
        </w:p>
        <w:p w14:paraId="176EEF82" w14:textId="77777777" w:rsidR="0062398C" w:rsidRPr="0062398C" w:rsidRDefault="00287494" w:rsidP="00287494">
          <w:pPr>
            <w:pStyle w:val="Piedepgina"/>
            <w:rPr>
              <w:rFonts w:ascii="Gill Sans" w:hAnsi="Gill Sans"/>
              <w:sz w:val="10"/>
              <w:szCs w:val="10"/>
            </w:rPr>
          </w:pPr>
          <w:r w:rsidRPr="00287494">
            <w:rPr>
              <w:rFonts w:ascii="Gill Sans" w:hAnsi="Gill Sans"/>
              <w:sz w:val="10"/>
              <w:szCs w:val="10"/>
            </w:rPr>
            <w:t>Y SEGURIDAD SOCIAL</w:t>
          </w:r>
        </w:p>
      </w:tc>
    </w:tr>
    <w:tr w:rsidR="00135A73" w14:paraId="381503A1" w14:textId="77777777">
      <w:trPr>
        <w:trHeight w:hRule="exact" w:val="501"/>
      </w:trPr>
      <w:tc>
        <w:tcPr>
          <w:tcW w:w="9426" w:type="dxa"/>
        </w:tcPr>
        <w:p w14:paraId="5CFC483F" w14:textId="77777777" w:rsidR="00135A73" w:rsidRDefault="00135A73">
          <w:pPr>
            <w:pStyle w:val="Piedepgina"/>
          </w:pPr>
        </w:p>
      </w:tc>
      <w:tc>
        <w:tcPr>
          <w:tcW w:w="1417" w:type="dxa"/>
          <w:tcBorders>
            <w:top w:val="single" w:sz="4" w:space="0" w:color="auto"/>
          </w:tcBorders>
        </w:tcPr>
        <w:p w14:paraId="556C884E" w14:textId="77777777" w:rsidR="00135A73" w:rsidRDefault="00135A73">
          <w:pPr>
            <w:pStyle w:val="Piedepgina"/>
            <w:rPr>
              <w:rFonts w:ascii="Gill Sans" w:hAnsi="Gill Sans"/>
              <w:sz w:val="10"/>
              <w:szCs w:val="10"/>
            </w:rPr>
          </w:pPr>
        </w:p>
        <w:p w14:paraId="3FB5F5FF" w14:textId="77777777" w:rsidR="0062398C" w:rsidRDefault="0062398C">
          <w:pPr>
            <w:pStyle w:val="Piedepgina"/>
            <w:rPr>
              <w:rFonts w:ascii="Gill Sans" w:hAnsi="Gill Sans"/>
              <w:sz w:val="10"/>
              <w:szCs w:val="10"/>
            </w:rPr>
          </w:pPr>
          <w:r>
            <w:rPr>
              <w:rFonts w:ascii="Gill Sans" w:hAnsi="Gill Sans"/>
              <w:sz w:val="10"/>
              <w:szCs w:val="10"/>
            </w:rPr>
            <w:t>INSTITUTO NACIONAL</w:t>
          </w:r>
        </w:p>
        <w:p w14:paraId="42AB136D" w14:textId="77777777" w:rsidR="0062398C" w:rsidRPr="0062398C" w:rsidRDefault="0062398C">
          <w:pPr>
            <w:pStyle w:val="Piedepgina"/>
            <w:rPr>
              <w:rFonts w:ascii="Gill Sans" w:hAnsi="Gill Sans"/>
              <w:sz w:val="10"/>
              <w:szCs w:val="10"/>
            </w:rPr>
          </w:pPr>
          <w:r>
            <w:rPr>
              <w:rFonts w:ascii="Gill Sans" w:hAnsi="Gill Sans"/>
              <w:sz w:val="10"/>
              <w:szCs w:val="10"/>
            </w:rPr>
            <w:t>DE LA SEGURIDAD SOCIAL</w:t>
          </w:r>
        </w:p>
      </w:tc>
    </w:tr>
  </w:tbl>
  <w:p w14:paraId="193918D3" w14:textId="77777777" w:rsidR="00135A73" w:rsidRDefault="00135A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2" w:type="dxa"/>
      <w:tblLayout w:type="fixed"/>
      <w:tblCellMar>
        <w:left w:w="70" w:type="dxa"/>
        <w:right w:w="70" w:type="dxa"/>
      </w:tblCellMar>
      <w:tblLook w:val="0000" w:firstRow="0" w:lastRow="0" w:firstColumn="0" w:lastColumn="0" w:noHBand="0" w:noVBand="0"/>
    </w:tblPr>
    <w:tblGrid>
      <w:gridCol w:w="8575"/>
      <w:gridCol w:w="2127"/>
    </w:tblGrid>
    <w:tr w:rsidR="002929E1" w14:paraId="614AD58D" w14:textId="77777777" w:rsidTr="00BA299F">
      <w:trPr>
        <w:cantSplit/>
        <w:trHeight w:hRule="exact" w:val="851"/>
      </w:trPr>
      <w:tc>
        <w:tcPr>
          <w:tcW w:w="8575" w:type="dxa"/>
          <w:tcBorders>
            <w:right w:val="single" w:sz="4" w:space="0" w:color="auto"/>
          </w:tcBorders>
        </w:tcPr>
        <w:p w14:paraId="7239A2D9" w14:textId="77777777" w:rsidR="002929E1" w:rsidRDefault="002929E1">
          <w:pPr>
            <w:pStyle w:val="Piedepgina"/>
            <w:rPr>
              <w:rFonts w:ascii="Arial Narrow" w:hAnsi="Arial Narrow"/>
              <w:b/>
            </w:rPr>
          </w:pPr>
        </w:p>
      </w:tc>
      <w:tc>
        <w:tcPr>
          <w:tcW w:w="2127" w:type="dxa"/>
          <w:tcBorders>
            <w:left w:val="single" w:sz="4" w:space="0" w:color="auto"/>
          </w:tcBorders>
        </w:tcPr>
        <w:p w14:paraId="2829639B" w14:textId="77777777" w:rsidR="006B7FFD" w:rsidRDefault="009C7752" w:rsidP="006B7FFD">
          <w:pPr>
            <w:pStyle w:val="Piedepgina"/>
            <w:spacing w:line="144" w:lineRule="exact"/>
            <w:rPr>
              <w:rFonts w:ascii="Gill Sans" w:hAnsi="Gill Sans"/>
              <w:sz w:val="14"/>
              <w:szCs w:val="14"/>
            </w:rPr>
          </w:pPr>
          <w:r>
            <w:rPr>
              <w:rFonts w:ascii="Gill Sans" w:hAnsi="Gill Sans"/>
              <w:sz w:val="14"/>
              <w:szCs w:val="14"/>
            </w:rPr>
            <w:t>PADRE DAMIÁN 4</w:t>
          </w:r>
        </w:p>
        <w:p w14:paraId="56DF060D" w14:textId="77777777" w:rsidR="006B7FFD" w:rsidRDefault="009C7752" w:rsidP="006B7FFD">
          <w:pPr>
            <w:pStyle w:val="Piedepgina"/>
            <w:spacing w:line="144" w:lineRule="exact"/>
            <w:rPr>
              <w:rFonts w:ascii="Gill Sans" w:hAnsi="Gill Sans"/>
              <w:sz w:val="14"/>
              <w:szCs w:val="14"/>
            </w:rPr>
          </w:pPr>
          <w:r>
            <w:rPr>
              <w:rFonts w:ascii="Gill Sans" w:hAnsi="Gill Sans"/>
              <w:sz w:val="14"/>
              <w:szCs w:val="14"/>
            </w:rPr>
            <w:t>28036 MADRID</w:t>
          </w:r>
        </w:p>
        <w:p w14:paraId="44F80B45" w14:textId="77777777" w:rsidR="006B7FFD" w:rsidRDefault="009C7752" w:rsidP="006B7FFD">
          <w:pPr>
            <w:pStyle w:val="Piedepgina"/>
            <w:spacing w:line="144" w:lineRule="exact"/>
            <w:rPr>
              <w:rFonts w:ascii="Gill Sans" w:hAnsi="Gill Sans"/>
              <w:sz w:val="14"/>
              <w:szCs w:val="14"/>
            </w:rPr>
          </w:pPr>
          <w:r>
            <w:rPr>
              <w:rFonts w:ascii="Gill Sans" w:hAnsi="Gill Sans"/>
              <w:sz w:val="14"/>
              <w:szCs w:val="14"/>
            </w:rPr>
            <w:t>TEL.: 91 568 83 00</w:t>
          </w:r>
        </w:p>
        <w:p w14:paraId="7AD53B24" w14:textId="77777777" w:rsidR="002929E1" w:rsidRPr="00115D50" w:rsidRDefault="009C7752" w:rsidP="006B7FFD">
          <w:pPr>
            <w:pStyle w:val="Piedepgina"/>
            <w:spacing w:line="144" w:lineRule="exact"/>
            <w:rPr>
              <w:rFonts w:ascii="Arial Narrow" w:hAnsi="Arial Narrow"/>
              <w:b/>
            </w:rPr>
          </w:pPr>
          <w:r>
            <w:rPr>
              <w:rFonts w:ascii="Gill Sans" w:hAnsi="Gill Sans"/>
              <w:sz w:val="14"/>
              <w:szCs w:val="14"/>
            </w:rPr>
            <w:t xml:space="preserve">FAX: 91 561 10 51 </w:t>
          </w:r>
        </w:p>
      </w:tc>
    </w:tr>
  </w:tbl>
  <w:p w14:paraId="0EEF7DA2" w14:textId="77777777" w:rsidR="00135A73" w:rsidRDefault="00135A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AA4EA" w14:textId="77777777" w:rsidR="002C70A4" w:rsidRDefault="002C70A4">
      <w:r>
        <w:separator/>
      </w:r>
    </w:p>
  </w:footnote>
  <w:footnote w:type="continuationSeparator" w:id="0">
    <w:p w14:paraId="40CA9EFA" w14:textId="77777777" w:rsidR="002C70A4" w:rsidRDefault="002C7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606"/>
      <w:gridCol w:w="1418"/>
    </w:tblGrid>
    <w:tr w:rsidR="00CA5376" w14:paraId="743B088C" w14:textId="77777777">
      <w:trPr>
        <w:trHeight w:val="1191"/>
      </w:trPr>
      <w:tc>
        <w:tcPr>
          <w:tcW w:w="9606" w:type="dxa"/>
        </w:tcPr>
        <w:p w14:paraId="79CE7671" w14:textId="77777777" w:rsidR="00CA5376" w:rsidRDefault="00CA5376" w:rsidP="00CA5376">
          <w:pPr>
            <w:pStyle w:val="Encabezado"/>
          </w:pPr>
        </w:p>
        <w:p w14:paraId="00A2B56E" w14:textId="77777777" w:rsidR="00CA5376" w:rsidRPr="008203A0" w:rsidRDefault="00CA5376" w:rsidP="00CA5376"/>
      </w:tc>
      <w:tc>
        <w:tcPr>
          <w:tcW w:w="1418" w:type="dxa"/>
          <w:tcBorders>
            <w:bottom w:val="single" w:sz="4" w:space="0" w:color="auto"/>
          </w:tcBorders>
        </w:tcPr>
        <w:p w14:paraId="7D16F17B" w14:textId="77777777" w:rsidR="00CA5376" w:rsidRDefault="00CA5376" w:rsidP="00CA5376">
          <w:pPr>
            <w:pStyle w:val="Encabezado"/>
            <w:tabs>
              <w:tab w:val="clear" w:pos="4252"/>
              <w:tab w:val="center" w:pos="4678"/>
            </w:tabs>
          </w:pPr>
          <w:r>
            <w:object w:dxaOrig="1096" w:dyaOrig="1150" w14:anchorId="0782E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8.75pt" fillcolor="window">
                <v:imagedata r:id="rId1" o:title=""/>
              </v:shape>
              <o:OLEObject Type="Embed" ProgID="Word.Picture.8" ShapeID="_x0000_i1025" DrawAspect="Content" ObjectID="_1645531296" r:id="rId2"/>
            </w:object>
          </w:r>
        </w:p>
      </w:tc>
    </w:tr>
    <w:tr w:rsidR="00CA5376" w14:paraId="73F60455" w14:textId="77777777">
      <w:trPr>
        <w:trHeight w:hRule="exact" w:val="227"/>
      </w:trPr>
      <w:tc>
        <w:tcPr>
          <w:tcW w:w="9606" w:type="dxa"/>
        </w:tcPr>
        <w:p w14:paraId="17C3DAD3" w14:textId="77777777" w:rsidR="00CA5376" w:rsidRDefault="00CA5376" w:rsidP="00CA5376">
          <w:pPr>
            <w:pStyle w:val="Encabezado"/>
          </w:pPr>
        </w:p>
      </w:tc>
      <w:tc>
        <w:tcPr>
          <w:tcW w:w="1418" w:type="dxa"/>
          <w:tcBorders>
            <w:top w:val="single" w:sz="4" w:space="0" w:color="auto"/>
          </w:tcBorders>
        </w:tcPr>
        <w:p w14:paraId="4FAE7CC9" w14:textId="77777777" w:rsidR="00CA5376" w:rsidRDefault="00CA5376" w:rsidP="00CA5376">
          <w:pPr>
            <w:pStyle w:val="Encabezado"/>
            <w:rPr>
              <w:noProof/>
            </w:rPr>
          </w:pPr>
        </w:p>
      </w:tc>
    </w:tr>
    <w:tr w:rsidR="00CA5376" w14:paraId="0807E25A" w14:textId="77777777" w:rsidTr="00CE380E">
      <w:trPr>
        <w:trHeight w:val="822"/>
      </w:trPr>
      <w:tc>
        <w:tcPr>
          <w:tcW w:w="9606" w:type="dxa"/>
        </w:tcPr>
        <w:p w14:paraId="40111E80" w14:textId="77777777" w:rsidR="00CA5376" w:rsidRDefault="00CA5376" w:rsidP="00CA5376">
          <w:pPr>
            <w:pStyle w:val="Encabezado"/>
          </w:pPr>
        </w:p>
      </w:tc>
      <w:tc>
        <w:tcPr>
          <w:tcW w:w="1418" w:type="dxa"/>
          <w:tcMar>
            <w:left w:w="227" w:type="dxa"/>
          </w:tcMar>
        </w:tcPr>
        <w:p w14:paraId="6BCBE472" w14:textId="77777777" w:rsidR="00CA5376" w:rsidRDefault="005E2151" w:rsidP="00CA5376">
          <w:pPr>
            <w:pStyle w:val="Encabezado"/>
          </w:pPr>
          <w:r>
            <w:rPr>
              <w:noProof/>
            </w:rPr>
            <w:drawing>
              <wp:inline distT="0" distB="0" distL="0" distR="0" wp14:anchorId="4341CD12" wp14:editId="4E6505E7">
                <wp:extent cx="334645" cy="431165"/>
                <wp:effectExtent l="1905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srcRect/>
                        <a:stretch>
                          <a:fillRect/>
                        </a:stretch>
                      </pic:blipFill>
                      <pic:spPr bwMode="auto">
                        <a:xfrm>
                          <a:off x="0" y="0"/>
                          <a:ext cx="334645" cy="431165"/>
                        </a:xfrm>
                        <a:prstGeom prst="rect">
                          <a:avLst/>
                        </a:prstGeom>
                        <a:noFill/>
                        <a:ln w="9525">
                          <a:noFill/>
                          <a:miter lim="800000"/>
                          <a:headEnd/>
                          <a:tailEnd/>
                        </a:ln>
                      </pic:spPr>
                    </pic:pic>
                  </a:graphicData>
                </a:graphic>
              </wp:inline>
            </w:drawing>
          </w:r>
        </w:p>
      </w:tc>
    </w:tr>
  </w:tbl>
  <w:p w14:paraId="318350C4" w14:textId="77777777" w:rsidR="00135A73" w:rsidRDefault="00135A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6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71"/>
      <w:gridCol w:w="1484"/>
      <w:gridCol w:w="3539"/>
      <w:gridCol w:w="2027"/>
      <w:gridCol w:w="172"/>
      <w:gridCol w:w="2027"/>
    </w:tblGrid>
    <w:tr w:rsidR="00B53EA5" w:rsidRPr="001C5B4C" w14:paraId="199E1F20" w14:textId="77777777" w:rsidTr="003F3406">
      <w:trPr>
        <w:trHeight w:hRule="exact" w:val="227"/>
      </w:trPr>
      <w:tc>
        <w:tcPr>
          <w:tcW w:w="1371" w:type="dxa"/>
          <w:vMerge w:val="restart"/>
          <w:tcMar>
            <w:top w:w="369" w:type="dxa"/>
          </w:tcMar>
        </w:tcPr>
        <w:p w14:paraId="6A9B88E4" w14:textId="77777777" w:rsidR="00B53EA5" w:rsidRPr="001C5B4C" w:rsidRDefault="00B53EA5" w:rsidP="003F3406">
          <w:pPr>
            <w:rPr>
              <w:sz w:val="12"/>
              <w:szCs w:val="12"/>
            </w:rPr>
          </w:pPr>
          <w:r>
            <w:object w:dxaOrig="1441" w:dyaOrig="1531" w14:anchorId="14A04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5pt;height:64.5pt" fillcolor="window">
                <v:imagedata r:id="rId1" o:title=""/>
              </v:shape>
              <o:OLEObject Type="Embed" ProgID="Word.Picture.8" ShapeID="_x0000_i1026" DrawAspect="Content" ObjectID="_1645531297" r:id="rId2"/>
            </w:object>
          </w:r>
        </w:p>
      </w:tc>
      <w:tc>
        <w:tcPr>
          <w:tcW w:w="1484" w:type="dxa"/>
        </w:tcPr>
        <w:p w14:paraId="6BDF8684" w14:textId="77777777" w:rsidR="00B53EA5" w:rsidRPr="001C5B4C" w:rsidRDefault="00B53EA5" w:rsidP="003F3406">
          <w:pPr>
            <w:rPr>
              <w:sz w:val="12"/>
              <w:szCs w:val="12"/>
            </w:rPr>
          </w:pPr>
        </w:p>
      </w:tc>
      <w:tc>
        <w:tcPr>
          <w:tcW w:w="3539" w:type="dxa"/>
        </w:tcPr>
        <w:p w14:paraId="7938612C" w14:textId="77777777" w:rsidR="00B53EA5" w:rsidRPr="001C5B4C" w:rsidRDefault="00B53EA5" w:rsidP="003F3406">
          <w:pPr>
            <w:rPr>
              <w:sz w:val="12"/>
              <w:szCs w:val="12"/>
            </w:rPr>
          </w:pPr>
        </w:p>
      </w:tc>
      <w:tc>
        <w:tcPr>
          <w:tcW w:w="2027" w:type="dxa"/>
        </w:tcPr>
        <w:p w14:paraId="02F4D27E" w14:textId="77777777" w:rsidR="00B53EA5" w:rsidRPr="001C5B4C" w:rsidRDefault="00B53EA5" w:rsidP="003F3406">
          <w:pPr>
            <w:rPr>
              <w:sz w:val="12"/>
              <w:szCs w:val="12"/>
            </w:rPr>
          </w:pPr>
        </w:p>
      </w:tc>
      <w:tc>
        <w:tcPr>
          <w:tcW w:w="172" w:type="dxa"/>
        </w:tcPr>
        <w:p w14:paraId="053BE8D8" w14:textId="77777777" w:rsidR="00B53EA5" w:rsidRPr="001C5B4C" w:rsidRDefault="00B53EA5" w:rsidP="003F3406">
          <w:pPr>
            <w:rPr>
              <w:sz w:val="12"/>
              <w:szCs w:val="12"/>
            </w:rPr>
          </w:pPr>
        </w:p>
      </w:tc>
      <w:tc>
        <w:tcPr>
          <w:tcW w:w="2027" w:type="dxa"/>
        </w:tcPr>
        <w:p w14:paraId="66605B5E" w14:textId="77777777" w:rsidR="00B53EA5" w:rsidRPr="001C5B4C" w:rsidRDefault="00B53EA5" w:rsidP="003F3406">
          <w:pPr>
            <w:ind w:left="-67" w:firstLine="67"/>
            <w:rPr>
              <w:sz w:val="12"/>
              <w:szCs w:val="12"/>
            </w:rPr>
          </w:pPr>
        </w:p>
      </w:tc>
    </w:tr>
    <w:tr w:rsidR="00B53EA5" w:rsidRPr="001C5B4C" w14:paraId="1AD4155F" w14:textId="77777777" w:rsidTr="003F3406">
      <w:trPr>
        <w:trHeight w:hRule="exact" w:val="227"/>
      </w:trPr>
      <w:tc>
        <w:tcPr>
          <w:tcW w:w="1371" w:type="dxa"/>
          <w:vMerge/>
        </w:tcPr>
        <w:p w14:paraId="621CCE16" w14:textId="77777777" w:rsidR="00B53EA5" w:rsidRPr="001C5B4C" w:rsidRDefault="00B53EA5" w:rsidP="003F3406">
          <w:pPr>
            <w:rPr>
              <w:sz w:val="12"/>
              <w:szCs w:val="12"/>
            </w:rPr>
          </w:pPr>
        </w:p>
      </w:tc>
      <w:tc>
        <w:tcPr>
          <w:tcW w:w="1484" w:type="dxa"/>
        </w:tcPr>
        <w:p w14:paraId="061B1C6E" w14:textId="77777777" w:rsidR="00B53EA5" w:rsidRPr="001C5B4C" w:rsidRDefault="00B53EA5" w:rsidP="003F3406">
          <w:pPr>
            <w:rPr>
              <w:sz w:val="12"/>
              <w:szCs w:val="12"/>
            </w:rPr>
          </w:pPr>
        </w:p>
      </w:tc>
      <w:tc>
        <w:tcPr>
          <w:tcW w:w="3539" w:type="dxa"/>
        </w:tcPr>
        <w:p w14:paraId="591E53CB" w14:textId="77777777" w:rsidR="00B53EA5" w:rsidRPr="001C5B4C" w:rsidRDefault="00B53EA5" w:rsidP="003F3406">
          <w:pPr>
            <w:rPr>
              <w:sz w:val="12"/>
              <w:szCs w:val="12"/>
            </w:rPr>
          </w:pPr>
        </w:p>
      </w:tc>
      <w:tc>
        <w:tcPr>
          <w:tcW w:w="2027" w:type="dxa"/>
        </w:tcPr>
        <w:p w14:paraId="7B81768C" w14:textId="77777777" w:rsidR="00B53EA5" w:rsidRPr="001C5B4C" w:rsidRDefault="00B53EA5" w:rsidP="003F3406">
          <w:pPr>
            <w:rPr>
              <w:sz w:val="12"/>
              <w:szCs w:val="12"/>
            </w:rPr>
          </w:pPr>
        </w:p>
      </w:tc>
      <w:tc>
        <w:tcPr>
          <w:tcW w:w="172" w:type="dxa"/>
        </w:tcPr>
        <w:p w14:paraId="30ADD6F7" w14:textId="77777777" w:rsidR="00B53EA5" w:rsidRPr="001C5B4C" w:rsidRDefault="00B53EA5" w:rsidP="003F3406">
          <w:pPr>
            <w:rPr>
              <w:sz w:val="12"/>
              <w:szCs w:val="12"/>
            </w:rPr>
          </w:pPr>
        </w:p>
      </w:tc>
      <w:tc>
        <w:tcPr>
          <w:tcW w:w="2027" w:type="dxa"/>
        </w:tcPr>
        <w:p w14:paraId="181C902F" w14:textId="77777777" w:rsidR="00B53EA5" w:rsidRPr="001C5B4C" w:rsidRDefault="00B53EA5" w:rsidP="003F3406">
          <w:pPr>
            <w:rPr>
              <w:sz w:val="12"/>
              <w:szCs w:val="12"/>
            </w:rPr>
          </w:pPr>
        </w:p>
      </w:tc>
    </w:tr>
    <w:tr w:rsidR="00B53EA5" w:rsidRPr="001C5B4C" w14:paraId="5E3DD6C9" w14:textId="77777777" w:rsidTr="003F3406">
      <w:trPr>
        <w:trHeight w:val="278"/>
      </w:trPr>
      <w:tc>
        <w:tcPr>
          <w:tcW w:w="1371" w:type="dxa"/>
          <w:vMerge/>
        </w:tcPr>
        <w:p w14:paraId="55449D20" w14:textId="77777777" w:rsidR="00B53EA5" w:rsidRPr="001C5B4C" w:rsidRDefault="00B53EA5" w:rsidP="003F3406">
          <w:pPr>
            <w:rPr>
              <w:sz w:val="12"/>
              <w:szCs w:val="12"/>
            </w:rPr>
          </w:pPr>
        </w:p>
      </w:tc>
      <w:tc>
        <w:tcPr>
          <w:tcW w:w="1484" w:type="dxa"/>
          <w:shd w:val="clear" w:color="auto" w:fill="auto"/>
        </w:tcPr>
        <w:p w14:paraId="444CB6A2" w14:textId="77777777" w:rsidR="00B53EA5" w:rsidRPr="001C5B4C" w:rsidRDefault="00B53EA5" w:rsidP="003F3406">
          <w:pPr>
            <w:rPr>
              <w:sz w:val="12"/>
              <w:szCs w:val="12"/>
            </w:rPr>
          </w:pPr>
        </w:p>
      </w:tc>
      <w:tc>
        <w:tcPr>
          <w:tcW w:w="3539" w:type="dxa"/>
          <w:shd w:val="clear" w:color="auto" w:fill="auto"/>
        </w:tcPr>
        <w:p w14:paraId="4E072ECE" w14:textId="77777777" w:rsidR="00B53EA5" w:rsidRPr="001C5B4C" w:rsidRDefault="00B53EA5" w:rsidP="003F3406">
          <w:pPr>
            <w:rPr>
              <w:sz w:val="12"/>
              <w:szCs w:val="12"/>
            </w:rPr>
          </w:pPr>
        </w:p>
      </w:tc>
      <w:tc>
        <w:tcPr>
          <w:tcW w:w="2027" w:type="dxa"/>
          <w:shd w:val="clear" w:color="auto" w:fill="auto"/>
        </w:tcPr>
        <w:p w14:paraId="049B7965" w14:textId="77777777" w:rsidR="00B53EA5" w:rsidRPr="001C5B4C" w:rsidRDefault="00B53EA5" w:rsidP="003F3406">
          <w:pPr>
            <w:rPr>
              <w:sz w:val="12"/>
              <w:szCs w:val="12"/>
            </w:rPr>
          </w:pPr>
        </w:p>
      </w:tc>
      <w:tc>
        <w:tcPr>
          <w:tcW w:w="172" w:type="dxa"/>
          <w:shd w:val="clear" w:color="auto" w:fill="auto"/>
        </w:tcPr>
        <w:p w14:paraId="5B8CC206" w14:textId="77777777" w:rsidR="00B53EA5" w:rsidRPr="001C5B4C" w:rsidRDefault="00B53EA5" w:rsidP="003F3406">
          <w:pPr>
            <w:rPr>
              <w:sz w:val="12"/>
              <w:szCs w:val="12"/>
            </w:rPr>
          </w:pPr>
        </w:p>
      </w:tc>
      <w:tc>
        <w:tcPr>
          <w:tcW w:w="2027" w:type="dxa"/>
          <w:vMerge w:val="restart"/>
          <w:shd w:val="clear" w:color="auto" w:fill="CCCCCC"/>
          <w:tcMar>
            <w:left w:w="113" w:type="dxa"/>
          </w:tcMar>
          <w:vAlign w:val="center"/>
        </w:tcPr>
        <w:p w14:paraId="41FC5212" w14:textId="77777777" w:rsidR="00B53EA5" w:rsidRDefault="00B53EA5" w:rsidP="003F3406">
          <w:pPr>
            <w:pStyle w:val="Encabezado"/>
            <w:spacing w:line="160" w:lineRule="exact"/>
            <w:rPr>
              <w:rFonts w:ascii="Gill Sans" w:hAnsi="Gill Sans"/>
              <w:sz w:val="14"/>
              <w:szCs w:val="14"/>
            </w:rPr>
          </w:pPr>
          <w:r>
            <w:rPr>
              <w:rFonts w:ascii="Gill Sans" w:hAnsi="Gill Sans"/>
              <w:sz w:val="14"/>
              <w:szCs w:val="14"/>
            </w:rPr>
            <w:t>SECRETARÍA DE ESTADO</w:t>
          </w:r>
        </w:p>
        <w:p w14:paraId="07E559FA" w14:textId="77777777" w:rsidR="00B53EA5" w:rsidRDefault="00B53EA5" w:rsidP="003F3406">
          <w:pPr>
            <w:rPr>
              <w:rFonts w:ascii="Gill Sans" w:hAnsi="Gill Sans"/>
              <w:sz w:val="14"/>
              <w:szCs w:val="14"/>
            </w:rPr>
          </w:pPr>
          <w:r>
            <w:rPr>
              <w:rFonts w:ascii="Gill Sans" w:hAnsi="Gill Sans"/>
              <w:sz w:val="14"/>
              <w:szCs w:val="14"/>
            </w:rPr>
            <w:t>DE LA SEGURIDAD SOCIAL</w:t>
          </w:r>
        </w:p>
        <w:p w14:paraId="04B992B5" w14:textId="77777777" w:rsidR="002C3B6E" w:rsidRPr="001C5B4C" w:rsidRDefault="002C3B6E" w:rsidP="003F3406">
          <w:pPr>
            <w:rPr>
              <w:sz w:val="12"/>
              <w:szCs w:val="12"/>
            </w:rPr>
          </w:pPr>
          <w:r>
            <w:rPr>
              <w:rFonts w:ascii="Gill Sans" w:hAnsi="Gill Sans"/>
              <w:sz w:val="14"/>
              <w:szCs w:val="14"/>
            </w:rPr>
            <w:t>Y PENSIONES</w:t>
          </w:r>
        </w:p>
      </w:tc>
    </w:tr>
    <w:tr w:rsidR="00C52147" w:rsidRPr="001C5B4C" w14:paraId="7593070F" w14:textId="77777777" w:rsidTr="006D56E2">
      <w:trPr>
        <w:trHeight w:hRule="exact" w:val="277"/>
      </w:trPr>
      <w:tc>
        <w:tcPr>
          <w:tcW w:w="1371" w:type="dxa"/>
          <w:vMerge/>
        </w:tcPr>
        <w:p w14:paraId="0565BD3B" w14:textId="77777777" w:rsidR="00C52147" w:rsidRPr="001C5B4C" w:rsidRDefault="00C52147" w:rsidP="003F3406">
          <w:pPr>
            <w:rPr>
              <w:sz w:val="12"/>
              <w:szCs w:val="12"/>
            </w:rPr>
          </w:pPr>
        </w:p>
      </w:tc>
      <w:tc>
        <w:tcPr>
          <w:tcW w:w="5023" w:type="dxa"/>
          <w:gridSpan w:val="2"/>
          <w:vMerge w:val="restart"/>
          <w:shd w:val="clear" w:color="auto" w:fill="auto"/>
          <w:tcMar>
            <w:top w:w="57" w:type="dxa"/>
            <w:left w:w="142" w:type="dxa"/>
          </w:tcMar>
        </w:tcPr>
        <w:p w14:paraId="2B193C9A" w14:textId="77777777" w:rsidR="00C52147" w:rsidRDefault="00D1442A" w:rsidP="003F3406">
          <w:pPr>
            <w:pStyle w:val="Encabezado"/>
            <w:spacing w:line="120" w:lineRule="atLeast"/>
            <w:rPr>
              <w:rFonts w:ascii="Gill Sans" w:hAnsi="Gill Sans"/>
              <w:kern w:val="18"/>
              <w:position w:val="-12"/>
              <w:sz w:val="22"/>
              <w:szCs w:val="22"/>
            </w:rPr>
          </w:pPr>
          <w:r>
            <w:rPr>
              <w:rFonts w:ascii="Gill Sans" w:hAnsi="Gill Sans"/>
              <w:kern w:val="18"/>
              <w:position w:val="-12"/>
              <w:sz w:val="22"/>
              <w:szCs w:val="22"/>
            </w:rPr>
            <w:t>MINISTERIO</w:t>
          </w:r>
        </w:p>
        <w:p w14:paraId="0236B452" w14:textId="77777777" w:rsidR="00C52147" w:rsidRDefault="002C3B6E" w:rsidP="003F3406">
          <w:pPr>
            <w:rPr>
              <w:rFonts w:ascii="Gill Sans" w:hAnsi="Gill Sans"/>
              <w:kern w:val="18"/>
              <w:position w:val="-12"/>
              <w:sz w:val="22"/>
              <w:szCs w:val="22"/>
            </w:rPr>
          </w:pPr>
          <w:r>
            <w:rPr>
              <w:rFonts w:ascii="Gill Sans" w:hAnsi="Gill Sans"/>
              <w:kern w:val="18"/>
              <w:position w:val="-12"/>
              <w:sz w:val="22"/>
              <w:szCs w:val="22"/>
            </w:rPr>
            <w:t>DE INCLUSIÓN, SEGURIDAD SOCIAL</w:t>
          </w:r>
        </w:p>
        <w:p w14:paraId="07B04F23" w14:textId="77777777" w:rsidR="00C52147" w:rsidRPr="00B13FF1" w:rsidRDefault="00C52147" w:rsidP="002C3B6E">
          <w:pPr>
            <w:pStyle w:val="Encabezado"/>
            <w:spacing w:line="120" w:lineRule="atLeast"/>
            <w:rPr>
              <w:rFonts w:ascii="Gill Sans" w:hAnsi="Gill Sans"/>
              <w:kern w:val="18"/>
              <w:position w:val="-12"/>
              <w:sz w:val="18"/>
              <w:szCs w:val="18"/>
            </w:rPr>
          </w:pPr>
          <w:r>
            <w:rPr>
              <w:rFonts w:ascii="Gill Sans" w:hAnsi="Gill Sans"/>
              <w:kern w:val="18"/>
              <w:position w:val="-12"/>
              <w:sz w:val="22"/>
              <w:szCs w:val="22"/>
            </w:rPr>
            <w:t xml:space="preserve">Y </w:t>
          </w:r>
          <w:r w:rsidR="002C3B6E">
            <w:rPr>
              <w:rFonts w:ascii="Gill Sans" w:hAnsi="Gill Sans"/>
              <w:kern w:val="18"/>
              <w:position w:val="-12"/>
              <w:sz w:val="22"/>
              <w:szCs w:val="22"/>
            </w:rPr>
            <w:t xml:space="preserve">MIGRACIONES </w:t>
          </w:r>
        </w:p>
      </w:tc>
      <w:tc>
        <w:tcPr>
          <w:tcW w:w="2027" w:type="dxa"/>
          <w:shd w:val="clear" w:color="auto" w:fill="auto"/>
        </w:tcPr>
        <w:p w14:paraId="11D89EAD" w14:textId="77777777" w:rsidR="00C52147" w:rsidRPr="001C5B4C" w:rsidRDefault="00C52147" w:rsidP="003F3406">
          <w:pPr>
            <w:rPr>
              <w:sz w:val="12"/>
              <w:szCs w:val="12"/>
            </w:rPr>
          </w:pPr>
        </w:p>
      </w:tc>
      <w:tc>
        <w:tcPr>
          <w:tcW w:w="172" w:type="dxa"/>
          <w:shd w:val="clear" w:color="auto" w:fill="auto"/>
        </w:tcPr>
        <w:p w14:paraId="3E4C1CB8" w14:textId="77777777" w:rsidR="00C52147" w:rsidRPr="001C5B4C" w:rsidRDefault="00C52147" w:rsidP="003F3406">
          <w:pPr>
            <w:rPr>
              <w:sz w:val="12"/>
              <w:szCs w:val="12"/>
            </w:rPr>
          </w:pPr>
        </w:p>
      </w:tc>
      <w:tc>
        <w:tcPr>
          <w:tcW w:w="2027" w:type="dxa"/>
          <w:vMerge/>
          <w:shd w:val="clear" w:color="auto" w:fill="CCCCCC"/>
        </w:tcPr>
        <w:p w14:paraId="08F68D2F" w14:textId="77777777" w:rsidR="00C52147" w:rsidRPr="001C5B4C" w:rsidRDefault="00C52147" w:rsidP="003F3406">
          <w:pPr>
            <w:rPr>
              <w:sz w:val="12"/>
              <w:szCs w:val="12"/>
            </w:rPr>
          </w:pPr>
        </w:p>
      </w:tc>
    </w:tr>
    <w:tr w:rsidR="00C52147" w:rsidRPr="001C5B4C" w14:paraId="14F8FC82" w14:textId="77777777" w:rsidTr="006D56E2">
      <w:trPr>
        <w:trHeight w:hRule="exact" w:val="170"/>
      </w:trPr>
      <w:tc>
        <w:tcPr>
          <w:tcW w:w="1371" w:type="dxa"/>
          <w:vMerge/>
        </w:tcPr>
        <w:p w14:paraId="2482B320" w14:textId="77777777" w:rsidR="00C52147" w:rsidRPr="001C5B4C" w:rsidRDefault="00C52147" w:rsidP="003F3406">
          <w:pPr>
            <w:rPr>
              <w:sz w:val="12"/>
              <w:szCs w:val="12"/>
            </w:rPr>
          </w:pPr>
        </w:p>
      </w:tc>
      <w:tc>
        <w:tcPr>
          <w:tcW w:w="5023" w:type="dxa"/>
          <w:gridSpan w:val="2"/>
          <w:vMerge/>
        </w:tcPr>
        <w:p w14:paraId="451EA306" w14:textId="77777777" w:rsidR="00C52147" w:rsidRPr="001C5B4C" w:rsidRDefault="00C52147" w:rsidP="003F3406">
          <w:pPr>
            <w:rPr>
              <w:sz w:val="12"/>
              <w:szCs w:val="12"/>
            </w:rPr>
          </w:pPr>
        </w:p>
      </w:tc>
      <w:tc>
        <w:tcPr>
          <w:tcW w:w="2027" w:type="dxa"/>
        </w:tcPr>
        <w:p w14:paraId="4360F333" w14:textId="77777777" w:rsidR="00C52147" w:rsidRPr="001C5B4C" w:rsidRDefault="00C52147" w:rsidP="003F3406">
          <w:pPr>
            <w:rPr>
              <w:sz w:val="12"/>
              <w:szCs w:val="12"/>
            </w:rPr>
          </w:pPr>
        </w:p>
      </w:tc>
      <w:tc>
        <w:tcPr>
          <w:tcW w:w="172" w:type="dxa"/>
        </w:tcPr>
        <w:p w14:paraId="795EB315" w14:textId="77777777" w:rsidR="00C52147" w:rsidRPr="001C5B4C" w:rsidRDefault="00C52147" w:rsidP="003F3406">
          <w:pPr>
            <w:rPr>
              <w:sz w:val="12"/>
              <w:szCs w:val="12"/>
            </w:rPr>
          </w:pPr>
        </w:p>
      </w:tc>
      <w:tc>
        <w:tcPr>
          <w:tcW w:w="2027" w:type="dxa"/>
        </w:tcPr>
        <w:p w14:paraId="41091860" w14:textId="77777777" w:rsidR="00C52147" w:rsidRPr="001C5B4C" w:rsidRDefault="00C52147" w:rsidP="003F3406">
          <w:pPr>
            <w:rPr>
              <w:sz w:val="12"/>
              <w:szCs w:val="12"/>
            </w:rPr>
          </w:pPr>
        </w:p>
      </w:tc>
    </w:tr>
    <w:tr w:rsidR="00C52147" w:rsidRPr="001C5B4C" w14:paraId="7678AE2D" w14:textId="77777777" w:rsidTr="006D56E2">
      <w:trPr>
        <w:trHeight w:val="390"/>
      </w:trPr>
      <w:tc>
        <w:tcPr>
          <w:tcW w:w="1371" w:type="dxa"/>
          <w:vMerge/>
        </w:tcPr>
        <w:p w14:paraId="2EFBD4B4" w14:textId="77777777" w:rsidR="00C52147" w:rsidRPr="001C5B4C" w:rsidRDefault="00C52147" w:rsidP="003F3406">
          <w:pPr>
            <w:rPr>
              <w:sz w:val="12"/>
              <w:szCs w:val="12"/>
            </w:rPr>
          </w:pPr>
        </w:p>
      </w:tc>
      <w:tc>
        <w:tcPr>
          <w:tcW w:w="5023" w:type="dxa"/>
          <w:gridSpan w:val="2"/>
          <w:vMerge/>
          <w:shd w:val="clear" w:color="auto" w:fill="auto"/>
        </w:tcPr>
        <w:p w14:paraId="0E1BD031" w14:textId="77777777" w:rsidR="00C52147" w:rsidRPr="001C5B4C" w:rsidRDefault="00C52147" w:rsidP="003F3406">
          <w:pPr>
            <w:rPr>
              <w:sz w:val="12"/>
              <w:szCs w:val="12"/>
            </w:rPr>
          </w:pPr>
        </w:p>
      </w:tc>
      <w:tc>
        <w:tcPr>
          <w:tcW w:w="2027" w:type="dxa"/>
          <w:shd w:val="clear" w:color="auto" w:fill="auto"/>
        </w:tcPr>
        <w:p w14:paraId="5C0E9043" w14:textId="77777777" w:rsidR="00C52147" w:rsidRPr="001C5B4C" w:rsidRDefault="00C52147" w:rsidP="003F3406">
          <w:pPr>
            <w:rPr>
              <w:sz w:val="12"/>
              <w:szCs w:val="12"/>
            </w:rPr>
          </w:pPr>
        </w:p>
      </w:tc>
      <w:tc>
        <w:tcPr>
          <w:tcW w:w="172" w:type="dxa"/>
          <w:shd w:val="clear" w:color="auto" w:fill="auto"/>
        </w:tcPr>
        <w:p w14:paraId="35C1377A" w14:textId="77777777" w:rsidR="00C52147" w:rsidRPr="001C5B4C" w:rsidRDefault="00C52147" w:rsidP="003F3406">
          <w:pPr>
            <w:rPr>
              <w:sz w:val="12"/>
              <w:szCs w:val="12"/>
            </w:rPr>
          </w:pPr>
        </w:p>
      </w:tc>
      <w:tc>
        <w:tcPr>
          <w:tcW w:w="2027" w:type="dxa"/>
          <w:vMerge w:val="restart"/>
          <w:shd w:val="clear" w:color="auto" w:fill="auto"/>
        </w:tcPr>
        <w:p w14:paraId="507A14B1" w14:textId="77777777" w:rsidR="00C52147" w:rsidRPr="001C5B4C" w:rsidRDefault="00C52147" w:rsidP="003F3406">
          <w:pPr>
            <w:rPr>
              <w:sz w:val="12"/>
              <w:szCs w:val="12"/>
            </w:rPr>
          </w:pPr>
          <w:r>
            <w:rPr>
              <w:noProof/>
            </w:rPr>
            <w:drawing>
              <wp:inline distT="0" distB="0" distL="0" distR="0" wp14:anchorId="646A4844" wp14:editId="5C634FEA">
                <wp:extent cx="1255395" cy="469900"/>
                <wp:effectExtent l="19050" t="0" r="190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255395" cy="469900"/>
                        </a:xfrm>
                        <a:prstGeom prst="rect">
                          <a:avLst/>
                        </a:prstGeom>
                        <a:noFill/>
                        <a:ln w="9525">
                          <a:noFill/>
                          <a:miter lim="800000"/>
                          <a:headEnd/>
                          <a:tailEnd/>
                        </a:ln>
                      </pic:spPr>
                    </pic:pic>
                  </a:graphicData>
                </a:graphic>
              </wp:inline>
            </w:drawing>
          </w:r>
        </w:p>
      </w:tc>
    </w:tr>
    <w:tr w:rsidR="00B53EA5" w:rsidRPr="001C5B4C" w14:paraId="6CB1440D" w14:textId="77777777" w:rsidTr="003F3406">
      <w:trPr>
        <w:trHeight w:hRule="exact" w:val="390"/>
      </w:trPr>
      <w:tc>
        <w:tcPr>
          <w:tcW w:w="1371" w:type="dxa"/>
          <w:vMerge/>
        </w:tcPr>
        <w:p w14:paraId="0EBEF96C" w14:textId="77777777" w:rsidR="00B53EA5" w:rsidRPr="001C5B4C" w:rsidRDefault="00B53EA5" w:rsidP="003F3406">
          <w:pPr>
            <w:rPr>
              <w:sz w:val="12"/>
              <w:szCs w:val="12"/>
            </w:rPr>
          </w:pPr>
        </w:p>
      </w:tc>
      <w:tc>
        <w:tcPr>
          <w:tcW w:w="1484" w:type="dxa"/>
          <w:shd w:val="clear" w:color="auto" w:fill="auto"/>
        </w:tcPr>
        <w:p w14:paraId="4F736E7D" w14:textId="77777777" w:rsidR="00B53EA5" w:rsidRPr="001C5B4C" w:rsidRDefault="00B53EA5" w:rsidP="003F3406">
          <w:pPr>
            <w:rPr>
              <w:sz w:val="12"/>
              <w:szCs w:val="12"/>
            </w:rPr>
          </w:pPr>
        </w:p>
      </w:tc>
      <w:tc>
        <w:tcPr>
          <w:tcW w:w="3539" w:type="dxa"/>
          <w:shd w:val="clear" w:color="auto" w:fill="auto"/>
        </w:tcPr>
        <w:p w14:paraId="1A628B7A" w14:textId="77777777" w:rsidR="00B53EA5" w:rsidRPr="001C5B4C" w:rsidRDefault="00B53EA5" w:rsidP="003F3406">
          <w:pPr>
            <w:rPr>
              <w:sz w:val="12"/>
              <w:szCs w:val="12"/>
            </w:rPr>
          </w:pPr>
        </w:p>
      </w:tc>
      <w:tc>
        <w:tcPr>
          <w:tcW w:w="2027" w:type="dxa"/>
          <w:shd w:val="clear" w:color="auto" w:fill="auto"/>
        </w:tcPr>
        <w:p w14:paraId="518D8788" w14:textId="77777777" w:rsidR="00B53EA5" w:rsidRPr="001C5B4C" w:rsidRDefault="00B53EA5" w:rsidP="003F3406">
          <w:pPr>
            <w:rPr>
              <w:sz w:val="12"/>
              <w:szCs w:val="12"/>
            </w:rPr>
          </w:pPr>
        </w:p>
      </w:tc>
      <w:tc>
        <w:tcPr>
          <w:tcW w:w="172" w:type="dxa"/>
          <w:shd w:val="clear" w:color="auto" w:fill="auto"/>
        </w:tcPr>
        <w:p w14:paraId="3D955FCC" w14:textId="77777777" w:rsidR="00B53EA5" w:rsidRPr="001C5B4C" w:rsidRDefault="00B53EA5" w:rsidP="003F3406">
          <w:pPr>
            <w:rPr>
              <w:sz w:val="12"/>
              <w:szCs w:val="12"/>
            </w:rPr>
          </w:pPr>
        </w:p>
      </w:tc>
      <w:tc>
        <w:tcPr>
          <w:tcW w:w="2027" w:type="dxa"/>
          <w:vMerge/>
          <w:shd w:val="clear" w:color="auto" w:fill="auto"/>
        </w:tcPr>
        <w:p w14:paraId="2688E476" w14:textId="77777777" w:rsidR="00B53EA5" w:rsidRPr="001C5B4C" w:rsidRDefault="00B53EA5" w:rsidP="003F3406">
          <w:pPr>
            <w:rPr>
              <w:sz w:val="12"/>
              <w:szCs w:val="12"/>
            </w:rPr>
          </w:pPr>
        </w:p>
      </w:tc>
    </w:tr>
    <w:tr w:rsidR="00B53EA5" w:rsidRPr="001C5B4C" w14:paraId="28D9AA76" w14:textId="77777777" w:rsidTr="00486068">
      <w:trPr>
        <w:trHeight w:val="397"/>
      </w:trPr>
      <w:tc>
        <w:tcPr>
          <w:tcW w:w="1371" w:type="dxa"/>
        </w:tcPr>
        <w:p w14:paraId="678CA7F9" w14:textId="77777777" w:rsidR="00B53EA5" w:rsidRPr="001C5B4C" w:rsidRDefault="00B53EA5" w:rsidP="003F3406">
          <w:pPr>
            <w:rPr>
              <w:sz w:val="12"/>
              <w:szCs w:val="12"/>
            </w:rPr>
          </w:pPr>
        </w:p>
      </w:tc>
      <w:tc>
        <w:tcPr>
          <w:tcW w:w="1484" w:type="dxa"/>
          <w:shd w:val="clear" w:color="auto" w:fill="auto"/>
        </w:tcPr>
        <w:p w14:paraId="1A14E209" w14:textId="77777777" w:rsidR="00B53EA5" w:rsidRPr="001C5B4C" w:rsidRDefault="00B53EA5" w:rsidP="003F3406">
          <w:pPr>
            <w:rPr>
              <w:sz w:val="12"/>
              <w:szCs w:val="12"/>
            </w:rPr>
          </w:pPr>
        </w:p>
      </w:tc>
      <w:tc>
        <w:tcPr>
          <w:tcW w:w="3539" w:type="dxa"/>
          <w:shd w:val="clear" w:color="auto" w:fill="auto"/>
        </w:tcPr>
        <w:p w14:paraId="2E30404C" w14:textId="77777777" w:rsidR="00B53EA5" w:rsidRPr="001C5B4C" w:rsidRDefault="00B53EA5" w:rsidP="003F3406">
          <w:pPr>
            <w:rPr>
              <w:sz w:val="12"/>
              <w:szCs w:val="12"/>
            </w:rPr>
          </w:pPr>
        </w:p>
      </w:tc>
      <w:tc>
        <w:tcPr>
          <w:tcW w:w="2027" w:type="dxa"/>
          <w:shd w:val="clear" w:color="auto" w:fill="auto"/>
        </w:tcPr>
        <w:p w14:paraId="0C1F72F6" w14:textId="77777777" w:rsidR="00B53EA5" w:rsidRPr="001C5B4C" w:rsidRDefault="00B53EA5" w:rsidP="003F3406">
          <w:pPr>
            <w:rPr>
              <w:sz w:val="12"/>
              <w:szCs w:val="12"/>
            </w:rPr>
          </w:pPr>
        </w:p>
      </w:tc>
      <w:tc>
        <w:tcPr>
          <w:tcW w:w="172" w:type="dxa"/>
          <w:shd w:val="clear" w:color="auto" w:fill="auto"/>
        </w:tcPr>
        <w:p w14:paraId="2D8A088E" w14:textId="77777777" w:rsidR="00B53EA5" w:rsidRPr="001C5B4C" w:rsidRDefault="00B53EA5" w:rsidP="003F3406">
          <w:pPr>
            <w:rPr>
              <w:sz w:val="12"/>
              <w:szCs w:val="12"/>
            </w:rPr>
          </w:pPr>
        </w:p>
      </w:tc>
      <w:tc>
        <w:tcPr>
          <w:tcW w:w="2027" w:type="dxa"/>
          <w:shd w:val="clear" w:color="auto" w:fill="auto"/>
        </w:tcPr>
        <w:p w14:paraId="23770A7A" w14:textId="77777777" w:rsidR="00B53EA5" w:rsidRPr="002A3CB2" w:rsidRDefault="00B53EA5" w:rsidP="002A3CB2">
          <w:pPr>
            <w:rPr>
              <w:rFonts w:ascii="Gill Sans" w:hAnsi="Gill Sans"/>
              <w:sz w:val="12"/>
              <w:szCs w:val="12"/>
            </w:rPr>
          </w:pPr>
        </w:p>
      </w:tc>
    </w:tr>
  </w:tbl>
  <w:p w14:paraId="416D36ED" w14:textId="77777777" w:rsidR="00135A73" w:rsidRDefault="00135A73" w:rsidP="00D75B54">
    <w:pPr>
      <w:pStyle w:val="Encabezado"/>
      <w:ind w:left="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4B70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1A31311"/>
    <w:multiLevelType w:val="hybridMultilevel"/>
    <w:tmpl w:val="9CE479E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A40901"/>
    <w:multiLevelType w:val="hybridMultilevel"/>
    <w:tmpl w:val="F33A803E"/>
    <w:lvl w:ilvl="0" w:tplc="FC829288">
      <w:start w:val="1"/>
      <w:numFmt w:val="bullet"/>
      <w:lvlText w:val="-"/>
      <w:lvlJc w:val="left"/>
      <w:pPr>
        <w:ind w:left="1080" w:hanging="360"/>
      </w:pPr>
      <w:rPr>
        <w:rFonts w:ascii="Calibri" w:eastAsiaTheme="minorHAnsi" w:hAnsi="Calibri" w:cs="Calibri"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598643BF"/>
    <w:multiLevelType w:val="hybridMultilevel"/>
    <w:tmpl w:val="644E7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54"/>
    <w:rsid w:val="000312CB"/>
    <w:rsid w:val="0004670F"/>
    <w:rsid w:val="00052714"/>
    <w:rsid w:val="000653D9"/>
    <w:rsid w:val="00074E30"/>
    <w:rsid w:val="000818F0"/>
    <w:rsid w:val="00087C12"/>
    <w:rsid w:val="000A689C"/>
    <w:rsid w:val="00115D50"/>
    <w:rsid w:val="00121460"/>
    <w:rsid w:val="001342F6"/>
    <w:rsid w:val="00135A73"/>
    <w:rsid w:val="00143BA5"/>
    <w:rsid w:val="00150769"/>
    <w:rsid w:val="00155301"/>
    <w:rsid w:val="00196CD0"/>
    <w:rsid w:val="00197D5D"/>
    <w:rsid w:val="001A4E35"/>
    <w:rsid w:val="001A6AA6"/>
    <w:rsid w:val="001A7FF8"/>
    <w:rsid w:val="001C15F4"/>
    <w:rsid w:val="001C40A8"/>
    <w:rsid w:val="001C781F"/>
    <w:rsid w:val="001E6980"/>
    <w:rsid w:val="002329F6"/>
    <w:rsid w:val="0024412E"/>
    <w:rsid w:val="00267F7D"/>
    <w:rsid w:val="00287494"/>
    <w:rsid w:val="002929E1"/>
    <w:rsid w:val="002A3CB2"/>
    <w:rsid w:val="002B64F9"/>
    <w:rsid w:val="002C3B6E"/>
    <w:rsid w:val="002C70A4"/>
    <w:rsid w:val="002D3F64"/>
    <w:rsid w:val="002E4034"/>
    <w:rsid w:val="002F67DA"/>
    <w:rsid w:val="003024AF"/>
    <w:rsid w:val="0031509F"/>
    <w:rsid w:val="00342DC5"/>
    <w:rsid w:val="00347E5A"/>
    <w:rsid w:val="00353DB2"/>
    <w:rsid w:val="00361F4A"/>
    <w:rsid w:val="00396646"/>
    <w:rsid w:val="003B1FF9"/>
    <w:rsid w:val="003B2769"/>
    <w:rsid w:val="003D6BA1"/>
    <w:rsid w:val="003D73BF"/>
    <w:rsid w:val="003E05F4"/>
    <w:rsid w:val="003E78D5"/>
    <w:rsid w:val="003F3406"/>
    <w:rsid w:val="003F4E5F"/>
    <w:rsid w:val="004011E4"/>
    <w:rsid w:val="00423B94"/>
    <w:rsid w:val="00434827"/>
    <w:rsid w:val="00435AC8"/>
    <w:rsid w:val="00446A94"/>
    <w:rsid w:val="00451091"/>
    <w:rsid w:val="00471EA2"/>
    <w:rsid w:val="00472412"/>
    <w:rsid w:val="00475732"/>
    <w:rsid w:val="00486068"/>
    <w:rsid w:val="00492690"/>
    <w:rsid w:val="004967DA"/>
    <w:rsid w:val="004A34F8"/>
    <w:rsid w:val="004C3D9D"/>
    <w:rsid w:val="004D53B0"/>
    <w:rsid w:val="004E2022"/>
    <w:rsid w:val="00503303"/>
    <w:rsid w:val="00525717"/>
    <w:rsid w:val="00570A7B"/>
    <w:rsid w:val="0057181C"/>
    <w:rsid w:val="00572F69"/>
    <w:rsid w:val="005738C6"/>
    <w:rsid w:val="0057565F"/>
    <w:rsid w:val="00586B1D"/>
    <w:rsid w:val="00587E28"/>
    <w:rsid w:val="00590F32"/>
    <w:rsid w:val="005A7D5A"/>
    <w:rsid w:val="005B454A"/>
    <w:rsid w:val="005C3984"/>
    <w:rsid w:val="005E2151"/>
    <w:rsid w:val="005F46F9"/>
    <w:rsid w:val="00604FDC"/>
    <w:rsid w:val="0062398C"/>
    <w:rsid w:val="00631EBA"/>
    <w:rsid w:val="0064351A"/>
    <w:rsid w:val="006502C8"/>
    <w:rsid w:val="00654F21"/>
    <w:rsid w:val="006559AD"/>
    <w:rsid w:val="006A1188"/>
    <w:rsid w:val="006A6766"/>
    <w:rsid w:val="006B1E59"/>
    <w:rsid w:val="006B27B2"/>
    <w:rsid w:val="006B3947"/>
    <w:rsid w:val="006B41E4"/>
    <w:rsid w:val="006B7FFD"/>
    <w:rsid w:val="006C578C"/>
    <w:rsid w:val="006D5083"/>
    <w:rsid w:val="006F6FDE"/>
    <w:rsid w:val="007177FD"/>
    <w:rsid w:val="007255E4"/>
    <w:rsid w:val="00740B2F"/>
    <w:rsid w:val="00767356"/>
    <w:rsid w:val="00767BE5"/>
    <w:rsid w:val="00776AE0"/>
    <w:rsid w:val="007911A2"/>
    <w:rsid w:val="007A09F9"/>
    <w:rsid w:val="007A1E39"/>
    <w:rsid w:val="007A2F20"/>
    <w:rsid w:val="007B048E"/>
    <w:rsid w:val="007C607A"/>
    <w:rsid w:val="007E42F3"/>
    <w:rsid w:val="007F613B"/>
    <w:rsid w:val="00833D54"/>
    <w:rsid w:val="00857BE5"/>
    <w:rsid w:val="008626A8"/>
    <w:rsid w:val="00863013"/>
    <w:rsid w:val="00875270"/>
    <w:rsid w:val="008942D5"/>
    <w:rsid w:val="008A0E6A"/>
    <w:rsid w:val="008C1751"/>
    <w:rsid w:val="008C2BFF"/>
    <w:rsid w:val="008E6770"/>
    <w:rsid w:val="008F681F"/>
    <w:rsid w:val="008F6CAE"/>
    <w:rsid w:val="00922EFD"/>
    <w:rsid w:val="00956A33"/>
    <w:rsid w:val="009640AC"/>
    <w:rsid w:val="00982C70"/>
    <w:rsid w:val="00986127"/>
    <w:rsid w:val="00987904"/>
    <w:rsid w:val="00994700"/>
    <w:rsid w:val="009B1591"/>
    <w:rsid w:val="009B4441"/>
    <w:rsid w:val="009B4C92"/>
    <w:rsid w:val="009B7AEF"/>
    <w:rsid w:val="009C7752"/>
    <w:rsid w:val="009E424F"/>
    <w:rsid w:val="009F0508"/>
    <w:rsid w:val="00A12E73"/>
    <w:rsid w:val="00A14CBA"/>
    <w:rsid w:val="00A50851"/>
    <w:rsid w:val="00A81B5F"/>
    <w:rsid w:val="00A82757"/>
    <w:rsid w:val="00A95C12"/>
    <w:rsid w:val="00AC3F4C"/>
    <w:rsid w:val="00AD2936"/>
    <w:rsid w:val="00B05F04"/>
    <w:rsid w:val="00B343AE"/>
    <w:rsid w:val="00B46390"/>
    <w:rsid w:val="00B53EA5"/>
    <w:rsid w:val="00B55533"/>
    <w:rsid w:val="00B66CB2"/>
    <w:rsid w:val="00B72461"/>
    <w:rsid w:val="00B73245"/>
    <w:rsid w:val="00BA299F"/>
    <w:rsid w:val="00BE760A"/>
    <w:rsid w:val="00BF79BC"/>
    <w:rsid w:val="00C26A7E"/>
    <w:rsid w:val="00C32419"/>
    <w:rsid w:val="00C52147"/>
    <w:rsid w:val="00C5490E"/>
    <w:rsid w:val="00C55C68"/>
    <w:rsid w:val="00C665F5"/>
    <w:rsid w:val="00C758BA"/>
    <w:rsid w:val="00C90265"/>
    <w:rsid w:val="00CA1C1A"/>
    <w:rsid w:val="00CA272A"/>
    <w:rsid w:val="00CA3B33"/>
    <w:rsid w:val="00CA5376"/>
    <w:rsid w:val="00CB09F5"/>
    <w:rsid w:val="00CB1FC1"/>
    <w:rsid w:val="00CB63F4"/>
    <w:rsid w:val="00CC42A0"/>
    <w:rsid w:val="00CE380E"/>
    <w:rsid w:val="00CF4822"/>
    <w:rsid w:val="00D1442A"/>
    <w:rsid w:val="00D168C7"/>
    <w:rsid w:val="00D269F8"/>
    <w:rsid w:val="00D65DDF"/>
    <w:rsid w:val="00D74953"/>
    <w:rsid w:val="00D75B54"/>
    <w:rsid w:val="00D7631D"/>
    <w:rsid w:val="00D77B2E"/>
    <w:rsid w:val="00DD5097"/>
    <w:rsid w:val="00DF0CE3"/>
    <w:rsid w:val="00E00179"/>
    <w:rsid w:val="00E060D5"/>
    <w:rsid w:val="00E34536"/>
    <w:rsid w:val="00E43F46"/>
    <w:rsid w:val="00E50BD7"/>
    <w:rsid w:val="00E543CF"/>
    <w:rsid w:val="00E6428D"/>
    <w:rsid w:val="00E76DD8"/>
    <w:rsid w:val="00E8154A"/>
    <w:rsid w:val="00EA6352"/>
    <w:rsid w:val="00EB68AA"/>
    <w:rsid w:val="00EE3F28"/>
    <w:rsid w:val="00EE45FB"/>
    <w:rsid w:val="00EF71AD"/>
    <w:rsid w:val="00F2657D"/>
    <w:rsid w:val="00F27806"/>
    <w:rsid w:val="00F308A8"/>
    <w:rsid w:val="00F31439"/>
    <w:rsid w:val="00F41AB0"/>
    <w:rsid w:val="00F55417"/>
    <w:rsid w:val="00F56DAA"/>
    <w:rsid w:val="00F67129"/>
    <w:rsid w:val="00F736E4"/>
    <w:rsid w:val="00F844A0"/>
    <w:rsid w:val="00F953F7"/>
    <w:rsid w:val="00F96DE0"/>
    <w:rsid w:val="00FA1156"/>
    <w:rsid w:val="00FA2DF3"/>
    <w:rsid w:val="00FB3030"/>
    <w:rsid w:val="00FD0B5A"/>
    <w:rsid w:val="00FD1D15"/>
    <w:rsid w:val="00FE2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8F0026"/>
  <w15:docId w15:val="{96C6D3C9-3F08-47CD-9BAD-484C2E96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8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F681F"/>
    <w:pPr>
      <w:tabs>
        <w:tab w:val="center" w:pos="4252"/>
        <w:tab w:val="right" w:pos="8504"/>
      </w:tabs>
    </w:pPr>
  </w:style>
  <w:style w:type="paragraph" w:styleId="Piedepgina">
    <w:name w:val="footer"/>
    <w:basedOn w:val="Normal"/>
    <w:rsid w:val="008F681F"/>
    <w:pPr>
      <w:tabs>
        <w:tab w:val="center" w:pos="4252"/>
        <w:tab w:val="right" w:pos="8504"/>
      </w:tabs>
    </w:pPr>
  </w:style>
  <w:style w:type="paragraph" w:styleId="Textodeglobo">
    <w:name w:val="Balloon Text"/>
    <w:basedOn w:val="Normal"/>
    <w:semiHidden/>
    <w:rsid w:val="00361F4A"/>
    <w:rPr>
      <w:rFonts w:ascii="Tahoma" w:hAnsi="Tahoma" w:cs="Tahoma"/>
      <w:sz w:val="16"/>
      <w:szCs w:val="16"/>
    </w:rPr>
  </w:style>
  <w:style w:type="character" w:styleId="Nmerodepgina">
    <w:name w:val="page number"/>
    <w:basedOn w:val="Fuentedeprrafopredeter"/>
    <w:rsid w:val="007A2F20"/>
  </w:style>
  <w:style w:type="table" w:styleId="Tablaconcuadrcula">
    <w:name w:val="Table Grid"/>
    <w:basedOn w:val="Tablanormal"/>
    <w:rsid w:val="005C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0312CB"/>
  </w:style>
  <w:style w:type="paragraph" w:styleId="Listaconvietas">
    <w:name w:val="List Bullet"/>
    <w:basedOn w:val="Normal"/>
    <w:rsid w:val="00CA272A"/>
    <w:pPr>
      <w:numPr>
        <w:numId w:val="1"/>
      </w:numPr>
      <w:contextualSpacing/>
    </w:pPr>
  </w:style>
  <w:style w:type="paragraph" w:styleId="Prrafodelista">
    <w:name w:val="List Paragraph"/>
    <w:basedOn w:val="Normal"/>
    <w:uiPriority w:val="34"/>
    <w:qFormat/>
    <w:rsid w:val="00982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0938">
      <w:bodyDiv w:val="1"/>
      <w:marLeft w:val="0"/>
      <w:marRight w:val="0"/>
      <w:marTop w:val="0"/>
      <w:marBottom w:val="0"/>
      <w:divBdr>
        <w:top w:val="none" w:sz="0" w:space="0" w:color="auto"/>
        <w:left w:val="none" w:sz="0" w:space="0" w:color="auto"/>
        <w:bottom w:val="none" w:sz="0" w:space="0" w:color="auto"/>
        <w:right w:val="none" w:sz="0" w:space="0" w:color="auto"/>
      </w:divBdr>
    </w:div>
    <w:div w:id="1775124319">
      <w:bodyDiv w:val="1"/>
      <w:marLeft w:val="0"/>
      <w:marRight w:val="0"/>
      <w:marTop w:val="0"/>
      <w:marBottom w:val="0"/>
      <w:divBdr>
        <w:top w:val="none" w:sz="0" w:space="0" w:color="auto"/>
        <w:left w:val="none" w:sz="0" w:space="0" w:color="auto"/>
        <w:bottom w:val="none" w:sz="0" w:space="0" w:color="auto"/>
        <w:right w:val="none" w:sz="0" w:space="0" w:color="auto"/>
      </w:divBdr>
    </w:div>
    <w:div w:id="205037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2.bin"/><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Hoja de trabajo</vt:lpstr>
    </vt:vector>
  </TitlesOfParts>
  <Company>M.A.P.</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trabajo</dc:title>
  <dc:creator>PEPE99IU1784</dc:creator>
  <cp:lastModifiedBy>Windows User</cp:lastModifiedBy>
  <cp:revision>2</cp:revision>
  <cp:lastPrinted>2020-02-17T13:08:00Z</cp:lastPrinted>
  <dcterms:created xsi:type="dcterms:W3CDTF">2020-03-12T14:15:00Z</dcterms:created>
  <dcterms:modified xsi:type="dcterms:W3CDTF">2020-03-12T14:15:00Z</dcterms:modified>
</cp:coreProperties>
</file>